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rPr>
          <w:cantSplit/>
        </w:trPr>
        <w:tc>
          <w:tcPr>
            <w:tcW w:type="dxa" w:w="9360"/>
            <w:shd w:fill="12385F" w:color="auto" w:val="clear"/>
            <w:tcMar>
              <w:top w:type="dxa" w:w="420"/>
              <w:left w:type="dxa" w:w="400"/>
              <w:bottom w:type="dxa" w:w="420"/>
              <w:right w:type="dxa" w:w="400"/>
            </w:tcMar>
          </w:tcPr>
          <w:p>
            <w:pPr>
              <w:spacing w:after="100"/>
              <w:jc w:val="center"/>
            </w:pPr>
            <w:r>
              <w:rPr>
                <w:b/>
                <w:bCs/>
                <w:color w:val="FFFFFF"/>
                <w:spacing w:val="20"/>
                <w:sz w:val="44"/>
                <w:szCs w:val="44"/>
              </w:rPr>
              <w:t xml:space="preserve">AUDITOR CGE — WORKIVA</w:t>
            </w:r>
          </w:p>
          <w:p>
            <w:pPr>
              <w:spacing w:after="80"/>
              <w:jc w:val="center"/>
            </w:pPr>
            <w:r>
              <w:rPr>
                <w:color w:val="D6E4F5"/>
                <w:sz w:val="26"/>
                <w:szCs w:val="26"/>
              </w:rPr>
              <w:t xml:space="preserve">Manual de Módulos</w:t>
            </w:r>
          </w:p>
          <w:p>
            <w:pPr>
              <w:spacing w:after="0"/>
              <w:jc w:val="center"/>
            </w:pPr>
            <w:r>
              <w:rPr>
                <w:color w:val="A8C4E4"/>
                <w:spacing w:val="16"/>
                <w:sz w:val="18"/>
                <w:szCs w:val="18"/>
              </w:rPr>
              <w:t xml:space="preserve">v2026 — Uso interno</w:t>
            </w:r>
          </w:p>
        </w:tc>
      </w:tr>
    </w:tbl>
    <w:p>
      <w:pPr>
        <w:spacing w:after="200" w:before="0" w:line="120" w:lineRule="exact"/>
      </w:pPr>
      <w:r>
        <w:rPr>
          <w:sz w:val="10"/>
          <w:szCs w:val="10"/>
        </w:rPr>
        <w:t xml:space="preserve"/>
      </w:r>
    </w:p>
    <w:p>
      <w:pPr>
        <w:pStyle w:val="Heading1"/>
      </w:pPr>
      <w:r>
        <w:t xml:space="preserve">¿Qué es el Auditor?</w:t>
      </w:r>
    </w:p>
    <w:p>
      <w:pPr>
        <w:spacing w:after="140" w:line="276" w:lineRule="auto"/>
        <w:jc w:val="both"/>
      </w:pPr>
      <w:r>
        <w:t xml:space="preserve">El Auditor es una aplicación de escritorio que combina dos tipos de funciones: conexión directa con Workiva (Wdesk) para </w:t>
      </w:r>
      <w:r>
        <w:rPr>
          <w:b/>
          <w:bCs/>
        </w:rPr>
        <w:t xml:space="preserve">consultar y escribir</w:t>
      </w:r>
      <w:r>
        <w:t xml:space="preserve"> datos en el workspace, y generación de archivos locales (Excel .xlsx) que se guardan en la carpeta que el usuario elija en su computador. No requiere abrir el navegador ni exportar archivos manualmente.</w:t>
      </w:r>
    </w:p>
    <w:p>
      <w:pPr>
        <w:spacing w:after="140" w:line="276" w:lineRule="auto"/>
        <w:jc w:val="both"/>
      </w:pPr>
      <w:r>
        <w:t xml:space="preserve">La aplicación dispone de los siguientes módulos, cada uno descrito en este manual con su función, los requisitos previos y los pasos de operación.</w:t>
      </w:r>
    </w:p>
    <w:p>
      <w:pPr>
        <w:pStyle w:val="Heading1"/>
      </w:pPr>
      <w:r>
        <w:t xml:space="preserve">Pasos previos de la aplicación.</w:t>
      </w:r>
    </w:p>
    <w:p>
      <w:pPr>
        <w:spacing w:after="140" w:line="276" w:lineRule="auto"/>
        <w:jc w:val="both"/>
      </w:pPr>
      <w:r>
        <w:t xml:space="preserve">El Auditor se distribuye como un único archivo ejecutable (Auditor.exe) que recibirás directamente. Guárdalo en tu computador y ejecútalo con doble clic; no requiere instalación.</w:t>
      </w:r>
    </w:p>
    <w:p>
      <w:pPr>
        <w:keepLines/>
        <w:spacing w:after="180" w:before="120" w:line="240" w:lineRule="auto"/>
        <w:jc w:val="center"/>
      </w:pPr>
      <w:r>
        <w:drawing>
          <wp:inline distT="0" distB="0" distL="0" distR="0">
            <wp:extent cx="329565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3000375"/>
                    </a:xfrm>
                    <a:prstGeom prst="rect">
                      <a:avLst/>
                    </a:prstGeom>
                  </pic:spPr>
                </pic:pic>
              </a:graphicData>
            </a:graphic>
          </wp:inline>
        </w:drawing>
      </w:r>
    </w:p>
    <w:p>
      <w:pPr>
        <w:spacing w:after="140" w:line="276" w:lineRule="auto"/>
        <w:jc w:val="both"/>
      </w:pPr>
      <w:r>
        <w:t xml:space="preserve">Si al descargar la aplicación y al intentar ejecutarla les sale un error con la pantalla azul con este mensaje pop-up, deberán abrir un ticket en la mesa de ayuda para que se les habilite el uso de la aplicación. El ticket debe ser generado en la </w:t>
      </w:r>
      <w:r>
        <w:rPr>
          <w:b/>
          <w:bCs/>
        </w:rPr>
        <w:t xml:space="preserve">CATEGORIA:</w:t>
      </w:r>
      <w:r>
        <w:t xml:space="preserve"> Aplicaciones de escritorio y en la </w:t>
      </w:r>
      <w:r>
        <w:rPr>
          <w:b/>
          <w:bCs/>
        </w:rPr>
        <w:t xml:space="preserve">SUBCATEGORIA:</w:t>
      </w:r>
      <w:r>
        <w:t xml:space="preserve"> Homologación de software. Con ese paso realizado el equipo de soporte les habilitara la aplicación y podrán acceder a todos los módulos de esta, los cuales están detallados mas abajo.</w:t>
      </w:r>
    </w:p>
    <w:p>
      <w:pPr>
        <w:pStyle w:val="Heading1"/>
      </w:pPr>
      <w:r>
        <w:t xml:space="preserve">Entrando a la aplicación</w:t>
      </w:r>
    </w:p>
    <w:p>
      <w:pPr>
        <w:spacing w:after="140" w:line="276" w:lineRule="auto"/>
        <w:jc w:val="both"/>
      </w:pPr>
      <w:r>
        <w:t xml:space="preserve">Al ejecutar el “Auditor” les saldrá esta pantalla. De inicio les aparecerá el modulo de verificación de sumas, de igual manera se pueden observar el resto de módulos tales como llenado de comparativos, flujo de efectivo y validar comparativos. Todos se detallan su función y sus requisitos mas a detalle</w:t>
      </w:r>
    </w:p>
    <w:p>
      <w:pPr>
        <w:keepLines/>
        <w:spacing w:after="180" w:before="120" w:line="240" w:lineRule="auto"/>
        <w:jc w:val="center"/>
      </w:pPr>
      <w:r>
        <w:drawing>
          <wp:inline distT="0" distB="0" distL="0" distR="0">
            <wp:extent cx="5305425"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3190875"/>
                    </a:xfrm>
                    <a:prstGeom prst="rect">
                      <a:avLst/>
                    </a:prstGeom>
                  </pic:spPr>
                </pic:pic>
              </a:graphicData>
            </a:graphic>
          </wp:inline>
        </w:drawing>
      </w:r>
    </w:p>
    <w:p>
      <w:pPr>
        <w:pageBreakBefore/>
        <w:spacing w:after="0" w:before="0" w:line="20" w:lineRule="exact"/>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80"/>
        <w:gridCol w:w="6600"/>
        <w:gridCol w:w="1980"/>
      </w:tblGrid>
      <w:tr>
        <w:trPr>
          <w:cantSplit/>
        </w:trPr>
        <w:tc>
          <w:tcPr>
            <w:tcW w:type="dxa" w:w="780"/>
            <w:shd w:fill="12385F" w:color="auto" w:val="clear"/>
            <w:tcMar>
              <w:top w:type="dxa" w:w="110"/>
              <w:left w:type="dxa" w:w="0"/>
              <w:bottom w:type="dxa" w:w="110"/>
              <w:right w:type="dxa" w:w="0"/>
            </w:tcMar>
            <w:vAlign w:val="center"/>
          </w:tcPr>
          <w:p>
            <w:pPr>
              <w:spacing w:after="0" w:before="0"/>
              <w:jc w:val="center"/>
            </w:pPr>
            <w:r>
              <w:rPr>
                <w:b/>
                <w:bCs/>
                <w:color w:val="FFFFFF"/>
                <w:sz w:val="26"/>
                <w:szCs w:val="26"/>
              </w:rPr>
              <w:t xml:space="preserve">01</w:t>
            </w:r>
          </w:p>
        </w:tc>
        <w:tc>
          <w:tcPr>
            <w:tcW w:type="dxa" w:w="6600"/>
            <w:shd w:fill="DCE8F7" w:color="auto" w:val="clear"/>
            <w:tcMar>
              <w:top w:type="dxa" w:w="110"/>
              <w:left w:type="dxa" w:w="200"/>
              <w:bottom w:type="dxa" w:w="110"/>
              <w:right w:type="dxa" w:w="120"/>
            </w:tcMar>
            <w:vAlign w:val="center"/>
          </w:tcPr>
          <w:p>
            <w:pPr>
              <w:pStyle w:val="TituloModulo"/>
            </w:pPr>
            <w:r>
              <w:rPr>
                <w:b/>
                <w:bCs/>
                <w:color w:val="12385F"/>
                <w:sz w:val="26"/>
                <w:szCs w:val="26"/>
              </w:rPr>
              <w:t xml:space="preserve">Verificador de Sumas</w:t>
            </w:r>
          </w:p>
        </w:tc>
        <w:tc>
          <w:tcPr>
            <w:tcW w:type="dxa" w:w="1980"/>
            <w:shd w:fill="DCE8F7" w:color="auto" w:val="clear"/>
            <w:tcMar>
              <w:top w:type="dxa" w:w="110"/>
              <w:left w:type="dxa" w:w="120"/>
              <w:bottom w:type="dxa" w:w="110"/>
              <w:right w:type="dxa" w:w="180"/>
            </w:tcMar>
            <w:vAlign w:val="center"/>
          </w:tcPr>
          <w:p>
            <w:pPr>
              <w:spacing w:after="0" w:before="0"/>
              <w:jc w:val="right"/>
            </w:pPr>
            <w:r>
              <w:rPr>
                <w:b/>
                <w:bCs/>
                <w:color w:val="1E7A46"/>
                <w:sz w:val="17"/>
                <w:szCs w:val="17"/>
              </w:rPr>
              <w:t xml:space="preserve">● Disponible</w:t>
            </w:r>
          </w:p>
        </w:tc>
      </w:tr>
    </w:tbl>
    <w:p>
      <w:pPr>
        <w:spacing w:after="140" w:before="0" w:line="120" w:lineRule="exact"/>
      </w:pPr>
      <w:r>
        <w:rPr>
          <w:sz w:val="10"/>
          <w:szCs w:val="10"/>
        </w:rPr>
        <w:t xml:space="preserve"/>
      </w:r>
    </w:p>
    <w:p>
      <w:pPr>
        <w:pStyle w:val="Etiqueta"/>
      </w:pPr>
      <w:r>
        <w:rPr>
          <w:b/>
          <w:bCs/>
          <w:color w:val="2E74B5"/>
          <w:spacing w:val="24"/>
          <w:sz w:val="17"/>
          <w:szCs w:val="17"/>
        </w:rPr>
        <w:t xml:space="preserve">QUÉ HACE</w:t>
      </w:r>
    </w:p>
    <w:p>
      <w:pPr>
        <w:spacing w:after="140" w:line="276" w:lineRule="auto"/>
        <w:jc w:val="both"/>
      </w:pPr>
      <w:r>
        <w:t xml:space="preserve">Descarga los documentos Word (docx) de Estados Financieros (EE.FF.) de Workiva en la misma base de datos del “Auditor” para un período dado y revisa automáticamente que los totales coincidan con la suma de sus componentes.</w:t>
      </w:r>
    </w:p>
    <w:p>
      <w:pPr>
        <w:spacing w:after="140" w:line="276" w:lineRule="auto"/>
        <w:jc w:val="both"/>
      </w:pPr>
      <w:r>
        <w:t xml:space="preserve">Detecta filas de subtotal en tablas, acumula sus sumandos y señala cualquier diferencia que supere el umbral configurado (por defecto, M$ 1.000, miles de pesos).</w:t>
      </w:r>
    </w:p>
    <w:p>
      <w:pPr>
        <w:pStyle w:val="Etiqueta"/>
      </w:pPr>
      <w:r>
        <w:rPr>
          <w:b/>
          <w:bCs/>
          <w:color w:val="2E74B5"/>
          <w:spacing w:val="24"/>
          <w:sz w:val="17"/>
          <w:szCs w:val="17"/>
        </w:rPr>
        <w:t xml:space="preserve">DÓNDE SE GUARDA EL RESULTADO</w:t>
      </w:r>
    </w:p>
    <w:p>
      <w:pPr>
        <w:spacing w:after="140" w:line="276" w:lineRule="auto"/>
        <w:jc w:val="both"/>
      </w:pPr>
      <w:r>
        <w:t xml:space="preserve">Al finalizar, los hallazgos se escriben automáticamente en Workiva en el siguiente archivo:</w:t>
      </w:r>
    </w:p>
    <w:tbl>
      <w:tblPr>
        <w:tblW w:type="dxa" w:w="9360"/>
        <w:tblBorders>
          <w:top w:val="none" w:color="FFFFFF" w:sz="0"/>
          <w:left w:val="single" w:color="2E74B5" w:sz="18"/>
          <w:bottom w:val="none" w:color="FFFFFF" w:sz="0"/>
          <w:right w:val="none" w:color="FFFFFF" w:sz="0"/>
          <w:insideH w:val="none" w:color="FFFFFF" w:sz="0"/>
          <w:insideV w:val="none" w:color="FFFFFF" w:sz="0"/>
        </w:tblBorders>
      </w:tblPr>
      <w:tblGrid>
        <w:gridCol w:w="9360"/>
      </w:tblGrid>
      <w:tr>
        <w:trPr>
          <w:cantSplit/>
        </w:trPr>
        <w:tc>
          <w:tcPr>
            <w:tcW w:type="dxa" w:w="9360"/>
            <w:shd w:fill="F4F7FB" w:color="auto" w:val="clear"/>
            <w:tcMar>
              <w:top w:type="dxa" w:w="150"/>
              <w:left w:type="dxa" w:w="220"/>
              <w:bottom w:type="dxa" w:w="150"/>
              <w:right w:type="dxa" w:w="200"/>
            </w:tcMar>
          </w:tcPr>
          <w:p>
            <w:pPr>
              <w:spacing w:after="40" w:line="240" w:lineRule="auto"/>
            </w:pPr>
            <w:r>
              <w:rPr>
                <w:rFonts w:ascii="Consolas" w:cs="Consolas" w:eastAsia="Consolas" w:hAnsi="Consolas"/>
                <w:color w:val="595959"/>
                <w:sz w:val="19"/>
                <w:szCs w:val="19"/>
              </w:rPr>
              <w:t xml:space="preserve">Archivo: </w:t>
            </w:r>
            <w:r>
              <w:rPr>
                <w:rFonts w:ascii="Consolas" w:cs="Consolas" w:eastAsia="Consolas" w:hAnsi="Consolas"/>
                <w:b/>
                <w:bCs/>
                <w:color w:val="12385F"/>
                <w:sz w:val="19"/>
                <w:szCs w:val="19"/>
              </w:rPr>
              <w:t xml:space="preserve">Verificación de Sumas MM.AAAA</w:t>
            </w:r>
          </w:p>
          <w:p>
            <w:pPr>
              <w:spacing w:after="0" w:line="240" w:lineRule="auto"/>
            </w:pPr>
            <w:r>
              <w:rPr>
                <w:rFonts w:ascii="Consolas" w:cs="Consolas" w:eastAsia="Consolas" w:hAnsi="Consolas"/>
                <w:color w:val="595959"/>
                <w:sz w:val="19"/>
                <w:szCs w:val="19"/>
              </w:rPr>
              <w:t xml:space="preserve">Ruta: </w:t>
            </w:r>
            <w:r>
              <w:rPr>
                <w:rFonts w:ascii="Consolas" w:cs="Consolas" w:eastAsia="Consolas" w:hAnsi="Consolas"/>
                <w:b/>
                <w:bCs/>
                <w:color w:val="12385F"/>
                <w:sz w:val="19"/>
                <w:szCs w:val="19"/>
              </w:rPr>
              <w:t xml:space="preserve">Estados Financieros  /  AAAA  /  [Mes] AAAA</w:t>
            </w:r>
          </w:p>
        </w:tc>
      </w:tr>
    </w:tbl>
    <w:p>
      <w:pPr>
        <w:spacing w:after="140" w:before="0" w:line="120" w:lineRule="exact"/>
      </w:pPr>
      <w:r>
        <w:rPr>
          <w:sz w:val="10"/>
          <w:szCs w:val="10"/>
        </w:rPr>
        <w:t xml:space="preserve"/>
      </w:r>
    </w:p>
    <w:p>
      <w:pPr>
        <w:spacing w:after="140" w:line="276" w:lineRule="auto"/>
        <w:jc w:val="both"/>
      </w:pPr>
      <w:r>
        <w:t xml:space="preserve">Ejemplo para junio 2026: Estados Financieros / 2026 / Junio 2026</w:t>
      </w:r>
    </w:p>
    <w:p>
      <w:pPr>
        <w:keepLines/>
        <w:spacing w:after="180" w:before="120" w:line="240" w:lineRule="auto"/>
        <w:jc w:val="center"/>
      </w:pPr>
      <w:r>
        <w:drawing>
          <wp:inline distT="0" distB="0" distL="0" distR="0">
            <wp:extent cx="59436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723900"/>
                    </a:xfrm>
                    <a:prstGeom prst="rect">
                      <a:avLst/>
                    </a:prstGeom>
                  </pic:spPr>
                </pic:pic>
              </a:graphicData>
            </a:graphic>
          </wp:inline>
        </w:drawing>
      </w:r>
    </w:p>
    <w:p>
      <w:pPr>
        <w:pStyle w:val="Etiqueta"/>
      </w:pPr>
      <w:r>
        <w:rPr>
          <w:b/>
          <w:bCs/>
          <w:color w:val="2E74B5"/>
          <w:spacing w:val="24"/>
          <w:sz w:val="17"/>
          <w:szCs w:val="17"/>
        </w:rPr>
        <w:t xml:space="preserve">CAMPOS DE ENTRADA</w:t>
      </w:r>
    </w:p>
    <w:p>
      <w:pPr>
        <w:pStyle w:val="ListParagraph"/>
        <w:numPr>
          <w:ilvl w:val="0"/>
          <w:numId w:val="2"/>
        </w:numPr>
        <w:spacing w:after="50" w:line="264" w:lineRule="auto"/>
      </w:pPr>
      <w:r>
        <w:rPr>
          <w:sz w:val="21"/>
          <w:szCs w:val="21"/>
        </w:rPr>
        <w:t xml:space="preserve">Mes</w:t>
      </w:r>
    </w:p>
    <w:p>
      <w:pPr>
        <w:pStyle w:val="ListParagraph"/>
        <w:numPr>
          <w:ilvl w:val="0"/>
          <w:numId w:val="2"/>
        </w:numPr>
        <w:spacing w:after="50" w:line="264" w:lineRule="auto"/>
      </w:pPr>
      <w:r>
        <w:rPr>
          <w:sz w:val="21"/>
          <w:szCs w:val="21"/>
        </w:rPr>
        <w:t xml:space="preserve">Año</w:t>
      </w:r>
    </w:p>
    <w:p>
      <w:pPr>
        <w:pStyle w:val="ListParagraph"/>
        <w:numPr>
          <w:ilvl w:val="0"/>
          <w:numId w:val="2"/>
        </w:numPr>
        <w:spacing w:after="50" w:line="264" w:lineRule="auto"/>
      </w:pPr>
      <w:r>
        <w:rPr>
          <w:sz w:val="21"/>
          <w:szCs w:val="21"/>
        </w:rPr>
        <w:t xml:space="preserve">Idioma (ES / ENG / AMBOS)</w:t>
      </w:r>
    </w:p>
    <w:p>
      <w:pPr>
        <w:pStyle w:val="Etiqueta"/>
      </w:pPr>
      <w:r>
        <w:rPr>
          <w:b/>
          <w:bCs/>
          <w:color w:val="2E74B5"/>
          <w:spacing w:val="24"/>
          <w:sz w:val="17"/>
          <w:szCs w:val="17"/>
        </w:rPr>
        <w:t xml:space="preserve">CONDICIONES NECESARIAS</w:t>
      </w:r>
    </w:p>
    <w:p>
      <w:pPr>
        <w:pStyle w:val="ListParagraph"/>
        <w:numPr>
          <w:ilvl w:val="0"/>
          <w:numId w:val="3"/>
        </w:numPr>
        <w:spacing w:after="70" w:line="268" w:lineRule="auto"/>
      </w:pPr>
      <w:r>
        <w:t xml:space="preserve">Credenciales válidas de Workiva (ya configuradas en la aplicación).</w:t>
      </w:r>
    </w:p>
    <w:p>
      <w:pPr>
        <w:pStyle w:val="ListParagraph"/>
        <w:numPr>
          <w:ilvl w:val="0"/>
          <w:numId w:val="3"/>
        </w:numPr>
        <w:spacing w:after="70" w:line="268" w:lineRule="auto"/>
      </w:pPr>
      <w:r>
        <w:t xml:space="preserve">Que existan documentos con nombre "EE.FF MM-AAAA" en el workspace.</w:t>
      </w:r>
    </w:p>
    <w:p>
      <w:pPr>
        <w:pStyle w:val="ListParagraph"/>
        <w:numPr>
          <w:ilvl w:val="0"/>
          <w:numId w:val="3"/>
        </w:numPr>
        <w:spacing w:after="70" w:line="268" w:lineRule="auto"/>
      </w:pPr>
      <w:r>
        <w:t xml:space="preserve">Que los documentos estén publicados y accesibles con el rol actual.</w:t>
      </w:r>
    </w:p>
    <w:p>
      <w:pPr>
        <w:pStyle w:val="Etiqueta"/>
      </w:pPr>
      <w:r>
        <w:rPr>
          <w:b/>
          <w:bCs/>
          <w:color w:val="2E74B5"/>
          <w:spacing w:val="24"/>
          <w:sz w:val="17"/>
          <w:szCs w:val="17"/>
        </w:rPr>
        <w:t xml:space="preserve">PASOS DE USO</w:t>
      </w:r>
    </w:p>
    <w:p>
      <w:pPr>
        <w:pStyle w:val="ListParagraph"/>
        <w:numPr>
          <w:ilvl w:val="0"/>
          <w:numId w:val="4"/>
        </w:numPr>
        <w:spacing w:after="90" w:line="276" w:lineRule="auto"/>
        <w:jc w:val="both"/>
      </w:pPr>
      <w:r>
        <w:t xml:space="preserve">Escribe el mes (ej: 06) y el año (ej: 2026) en los campos del panel izquierdo.</w:t>
      </w:r>
    </w:p>
    <w:p>
      <w:pPr>
        <w:pStyle w:val="ListParagraph"/>
        <w:numPr>
          <w:ilvl w:val="0"/>
          <w:numId w:val="4"/>
        </w:numPr>
        <w:spacing w:after="90" w:line="276" w:lineRule="auto"/>
        <w:jc w:val="both"/>
      </w:pPr>
      <w:r>
        <w:t xml:space="preserve">Elige el idioma: ES para español, ENG para inglés, o AMBOS para procesar todos.</w:t>
      </w:r>
    </w:p>
    <w:p>
      <w:pPr>
        <w:pStyle w:val="ListParagraph"/>
        <w:numPr>
          <w:ilvl w:val="0"/>
          <w:numId w:val="4"/>
        </w:numPr>
        <w:spacing w:after="90" w:line="276" w:lineRule="auto"/>
        <w:jc w:val="both"/>
      </w:pPr>
      <w:r>
        <w:t xml:space="preserve">Haz clic en "Buscar documentos". Aparecerá la lista de EE.FF. encontrados.</w:t>
      </w:r>
    </w:p>
    <w:p>
      <w:pPr>
        <w:keepLines/>
        <w:spacing w:after="180" w:before="120" w:line="240" w:lineRule="auto"/>
        <w:jc w:val="center"/>
      </w:pPr>
      <w:r>
        <w:drawing>
          <wp:inline distT="0" distB="0" distL="0" distR="0">
            <wp:extent cx="54864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724150"/>
                    </a:xfrm>
                    <a:prstGeom prst="rect">
                      <a:avLst/>
                    </a:prstGeom>
                  </pic:spPr>
                </pic:pic>
              </a:graphicData>
            </a:graphic>
          </wp:inline>
        </w:drawing>
      </w:r>
    </w:p>
    <w:p>
      <w:pPr>
        <w:pStyle w:val="ListParagraph"/>
        <w:numPr>
          <w:ilvl w:val="0"/>
          <w:numId w:val="4"/>
        </w:numPr>
        <w:spacing w:after="90" w:line="276" w:lineRule="auto"/>
        <w:jc w:val="both"/>
      </w:pPr>
      <w:r>
        <w:t xml:space="preserve">Marca los documentos a revisar (o usa "Marcar todos") y presiona "Verificar seleccionados".</w:t>
      </w:r>
    </w:p>
    <w:p>
      <w:pPr>
        <w:pStyle w:val="ListParagraph"/>
        <w:numPr>
          <w:ilvl w:val="0"/>
          <w:numId w:val="4"/>
        </w:numPr>
        <w:spacing w:after="90" w:line="276" w:lineRule="auto"/>
        <w:jc w:val="both"/>
      </w:pPr>
      <w:r>
        <w:t xml:space="preserve">El panel de Actividad muestra el progreso. Los errores aparecen en rojo; los documentos sin diferencias, en verde.</w:t>
      </w:r>
    </w:p>
    <w:p>
      <w:pPr>
        <w:keepLines/>
        <w:spacing w:after="180" w:before="120" w:line="240" w:lineRule="auto"/>
        <w:jc w:val="center"/>
      </w:pPr>
      <w:r>
        <w:drawing>
          <wp:inline distT="0" distB="0" distL="0" distR="0">
            <wp:extent cx="49339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428875"/>
                    </a:xfrm>
                    <a:prstGeom prst="rect">
                      <a:avLst/>
                    </a:prstGeom>
                  </pic:spPr>
                </pic:pic>
              </a:graphicData>
            </a:graphic>
          </wp:inline>
        </w:drawing>
      </w:r>
    </w:p>
    <w:p>
      <w:pPr>
        <w:pStyle w:val="ListParagraph"/>
        <w:numPr>
          <w:ilvl w:val="0"/>
          <w:numId w:val="4"/>
        </w:numPr>
        <w:spacing w:after="90" w:line="276" w:lineRule="auto"/>
        <w:jc w:val="both"/>
      </w:pPr>
      <w:r>
        <w:t xml:space="preserve">Al finalizar, el resumen queda guardado automáticamente en el archivo Verificación de Sumas MM.AAAA dentro de la carpeta del mes en Workiva.</w:t>
      </w:r>
    </w:p>
    <w:p>
      <w:pPr>
        <w:keepLines/>
        <w:spacing w:after="180" w:before="120" w:line="240" w:lineRule="auto"/>
        <w:jc w:val="center"/>
      </w:pPr>
      <w:r>
        <w:drawing>
          <wp:inline distT="0" distB="0" distL="0" distR="0">
            <wp:extent cx="3476625"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76625" cy="1438275"/>
                    </a:xfrm>
                    <a:prstGeom prst="rect">
                      <a:avLst/>
                    </a:prstGeom>
                  </pic:spPr>
                </pic:pic>
              </a:graphicData>
            </a:graphic>
          </wp:inline>
        </w:drawing>
      </w:r>
    </w:p>
    <w:p>
      <w:pPr>
        <w:pageBreakBefore/>
        <w:spacing w:after="0" w:before="0" w:line="20" w:lineRule="exact"/>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80"/>
        <w:gridCol w:w="6600"/>
        <w:gridCol w:w="1980"/>
      </w:tblGrid>
      <w:tr>
        <w:trPr>
          <w:cantSplit/>
        </w:trPr>
        <w:tc>
          <w:tcPr>
            <w:tcW w:type="dxa" w:w="780"/>
            <w:shd w:fill="12385F" w:color="auto" w:val="clear"/>
            <w:tcMar>
              <w:top w:type="dxa" w:w="110"/>
              <w:left w:type="dxa" w:w="0"/>
              <w:bottom w:type="dxa" w:w="110"/>
              <w:right w:type="dxa" w:w="0"/>
            </w:tcMar>
            <w:vAlign w:val="center"/>
          </w:tcPr>
          <w:p>
            <w:pPr>
              <w:spacing w:after="0" w:before="0"/>
              <w:jc w:val="center"/>
            </w:pPr>
            <w:r>
              <w:rPr>
                <w:b/>
                <w:bCs/>
                <w:color w:val="FFFFFF"/>
                <w:sz w:val="26"/>
                <w:szCs w:val="26"/>
              </w:rPr>
              <w:t xml:space="preserve">02</w:t>
            </w:r>
          </w:p>
        </w:tc>
        <w:tc>
          <w:tcPr>
            <w:tcW w:type="dxa" w:w="6600"/>
            <w:shd w:fill="DCE8F7" w:color="auto" w:val="clear"/>
            <w:tcMar>
              <w:top w:type="dxa" w:w="110"/>
              <w:left w:type="dxa" w:w="200"/>
              <w:bottom w:type="dxa" w:w="110"/>
              <w:right w:type="dxa" w:w="120"/>
            </w:tcMar>
            <w:vAlign w:val="center"/>
          </w:tcPr>
          <w:p>
            <w:pPr>
              <w:pStyle w:val="TituloModulo"/>
            </w:pPr>
            <w:r>
              <w:rPr>
                <w:b/>
                <w:bCs/>
                <w:color w:val="12385F"/>
                <w:sz w:val="26"/>
                <w:szCs w:val="26"/>
              </w:rPr>
              <w:t xml:space="preserve">Llenar Comparativos</w:t>
            </w:r>
          </w:p>
        </w:tc>
        <w:tc>
          <w:tcPr>
            <w:tcW w:type="dxa" w:w="1980"/>
            <w:shd w:fill="FDF3E3" w:color="auto" w:val="clear"/>
            <w:tcMar>
              <w:top w:type="dxa" w:w="110"/>
              <w:left w:type="dxa" w:w="120"/>
              <w:bottom w:type="dxa" w:w="110"/>
              <w:right w:type="dxa" w:w="180"/>
            </w:tcMar>
            <w:vAlign w:val="center"/>
          </w:tcPr>
          <w:p>
            <w:pPr>
              <w:spacing w:after="0" w:before="0"/>
              <w:jc w:val="right"/>
            </w:pPr>
            <w:r>
              <w:rPr>
                <w:b/>
                <w:bCs/>
                <w:color w:val="9C5A00"/>
                <w:sz w:val="17"/>
                <w:szCs w:val="17"/>
              </w:rPr>
              <w:t xml:space="preserve">⚠ En Desarrollo</w:t>
            </w:r>
          </w:p>
        </w:tc>
      </w:tr>
    </w:tbl>
    <w:p>
      <w:pPr>
        <w:spacing w:after="140" w:before="0" w:line="120" w:lineRule="exact"/>
      </w:pPr>
      <w:r>
        <w:rPr>
          <w:sz w:val="10"/>
          <w:szCs w:val="10"/>
        </w:rPr>
        <w:t xml:space="preserve"/>
      </w:r>
    </w:p>
    <w:p>
      <w:pPr>
        <w:pStyle w:val="Etiqueta"/>
      </w:pPr>
      <w:r>
        <w:rPr>
          <w:b/>
          <w:bCs/>
          <w:color w:val="2E74B5"/>
          <w:spacing w:val="24"/>
          <w:sz w:val="17"/>
          <w:szCs w:val="17"/>
        </w:rPr>
        <w:t xml:space="preserve">QUÉ HACE</w:t>
      </w:r>
    </w:p>
    <w:p>
      <w:pPr>
        <w:spacing w:after="140" w:line="276" w:lineRule="auto"/>
        <w:jc w:val="both"/>
      </w:pPr>
      <w:r>
        <w:t xml:space="preserve">Copia automáticamente los valores del período anterior hacia las columnas comparativas de cada hoja dentro de los archivos IND de Workiva. Evita el llenado manual fila por fila.</w:t>
      </w:r>
    </w:p>
    <w:p>
      <w:pPr>
        <w:spacing w:after="140" w:line="276" w:lineRule="auto"/>
        <w:jc w:val="both"/>
      </w:pPr>
      <w:r>
        <w:t xml:space="preserve">Aplica reglas automáticas: las hojas de balance solo se llenan en cierre de marzo; las hojas con fórmulas no se tocan; y si una hoja ya fue llenada previamente, se omite para no pisar datos existentes.</w:t>
      </w:r>
    </w:p>
    <w:p>
      <w:pPr>
        <w:pStyle w:val="Etiqueta"/>
      </w:pPr>
      <w:r>
        <w:rPr>
          <w:b/>
          <w:bCs/>
          <w:color w:val="2E74B5"/>
          <w:spacing w:val="24"/>
          <w:sz w:val="17"/>
          <w:szCs w:val="17"/>
        </w:rPr>
        <w:t xml:space="preserve">CAMPOS DE ENTRADA</w:t>
      </w:r>
    </w:p>
    <w:p>
      <w:pPr>
        <w:pStyle w:val="ListParagraph"/>
        <w:numPr>
          <w:ilvl w:val="0"/>
          <w:numId w:val="2"/>
        </w:numPr>
        <w:spacing w:after="50" w:line="264" w:lineRule="auto"/>
      </w:pPr>
      <w:r>
        <w:rPr>
          <w:sz w:val="21"/>
          <w:szCs w:val="21"/>
        </w:rPr>
        <w:t xml:space="preserve">Mes</w:t>
      </w:r>
    </w:p>
    <w:p>
      <w:pPr>
        <w:pStyle w:val="ListParagraph"/>
        <w:numPr>
          <w:ilvl w:val="0"/>
          <w:numId w:val="2"/>
        </w:numPr>
        <w:spacing w:after="50" w:line="264" w:lineRule="auto"/>
      </w:pPr>
      <w:r>
        <w:rPr>
          <w:sz w:val="21"/>
          <w:szCs w:val="21"/>
        </w:rPr>
        <w:t xml:space="preserve">Año</w:t>
      </w:r>
    </w:p>
    <w:p>
      <w:pPr>
        <w:pStyle w:val="Etiqueta"/>
      </w:pPr>
      <w:r>
        <w:rPr>
          <w:b/>
          <w:bCs/>
          <w:color w:val="2E74B5"/>
          <w:spacing w:val="24"/>
          <w:sz w:val="17"/>
          <w:szCs w:val="17"/>
        </w:rPr>
        <w:t xml:space="preserve">CONDICIONES NECESARIAS</w:t>
      </w:r>
    </w:p>
    <w:p>
      <w:pPr>
        <w:pStyle w:val="ListParagraph"/>
        <w:numPr>
          <w:ilvl w:val="0"/>
          <w:numId w:val="3"/>
        </w:numPr>
        <w:spacing w:after="70" w:line="268" w:lineRule="auto"/>
      </w:pPr>
      <w:r>
        <w:t xml:space="preserve">Que existan archivos con el formato "E###_IND_MM-AAAA_Base Notas …" en el workspace.</w:t>
      </w:r>
    </w:p>
    <w:p>
      <w:pPr>
        <w:pStyle w:val="ListParagraph"/>
        <w:numPr>
          <w:ilvl w:val="0"/>
          <w:numId w:val="3"/>
        </w:numPr>
        <w:spacing w:after="70" w:line="268" w:lineRule="auto"/>
      </w:pPr>
      <w:r>
        <w:t xml:space="preserve">Que la hoja de bases esté actualizada con las fechas correctas.</w:t>
      </w:r>
    </w:p>
    <w:p>
      <w:pPr>
        <w:pStyle w:val="ListParagraph"/>
        <w:numPr>
          <w:ilvl w:val="0"/>
          <w:numId w:val="3"/>
        </w:numPr>
        <w:spacing w:after="70" w:line="268" w:lineRule="auto"/>
      </w:pPr>
      <w:r>
        <w:t xml:space="preserve">Que las celdas en las cuales escribirá NO estén bloqueadas, al igual que los archivos.</w:t>
      </w:r>
    </w:p>
    <w:p>
      <w:pPr>
        <w:pStyle w:val="ListParagraph"/>
        <w:numPr>
          <w:ilvl w:val="0"/>
          <w:numId w:val="3"/>
        </w:numPr>
        <w:spacing w:after="70" w:line="268" w:lineRule="auto"/>
      </w:pPr>
      <w:r>
        <w:t xml:space="preserve">Acceso de escritura al workspace (no modo lectura).</w:t>
      </w:r>
    </w:p>
    <w:p>
      <w:pPr>
        <w:pStyle w:val="Etiqueta"/>
      </w:pPr>
      <w:r>
        <w:rPr>
          <w:b/>
          <w:bCs/>
          <w:color w:val="2E74B5"/>
          <w:spacing w:val="24"/>
          <w:sz w:val="17"/>
          <w:szCs w:val="17"/>
        </w:rPr>
        <w:t xml:space="preserve">PASOS DE USO</w:t>
      </w:r>
    </w:p>
    <w:p>
      <w:pPr>
        <w:pStyle w:val="ListParagraph"/>
        <w:numPr>
          <w:ilvl w:val="0"/>
          <w:numId w:val="5"/>
        </w:numPr>
        <w:spacing w:after="90" w:line="276" w:lineRule="auto"/>
        <w:jc w:val="both"/>
      </w:pPr>
      <w:r>
        <w:t xml:space="preserve">Ingresa el mes y año del período a llenar (ej: 09-2026).</w:t>
      </w:r>
    </w:p>
    <w:p>
      <w:pPr>
        <w:pStyle w:val="ListParagraph"/>
        <w:numPr>
          <w:ilvl w:val="0"/>
          <w:numId w:val="5"/>
        </w:numPr>
        <w:spacing w:after="90" w:line="276" w:lineRule="auto"/>
        <w:jc w:val="both"/>
      </w:pPr>
      <w:r>
        <w:t xml:space="preserve">Haz clic en "Buscar archivos". La aplicación buscará en Workiva todos los IND del período.</w:t>
      </w:r>
    </w:p>
    <w:p>
      <w:pPr>
        <w:pStyle w:val="ListParagraph"/>
        <w:numPr>
          <w:ilvl w:val="0"/>
          <w:numId w:val="5"/>
        </w:numPr>
        <w:spacing w:after="90" w:line="276" w:lineRule="auto"/>
        <w:jc w:val="both"/>
      </w:pPr>
      <w:r>
        <w:t xml:space="preserve">Selecciona los archivos a procesar. Puedes usar "Marcar todas" o elegir solo algunos.</w:t>
      </w:r>
    </w:p>
    <w:p>
      <w:pPr>
        <w:keepLines/>
        <w:spacing w:after="180" w:before="120" w:line="240" w:lineRule="auto"/>
        <w:jc w:val="center"/>
      </w:pPr>
      <w:r>
        <w:drawing>
          <wp:inline distT="0" distB="0" distL="0" distR="0">
            <wp:extent cx="5667375"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1476375"/>
                    </a:xfrm>
                    <a:prstGeom prst="rect">
                      <a:avLst/>
                    </a:prstGeom>
                  </pic:spPr>
                </pic:pic>
              </a:graphicData>
            </a:graphic>
          </wp:inline>
        </w:drawing>
      </w:r>
    </w:p>
    <w:p>
      <w:pPr>
        <w:pStyle w:val="ListParagraph"/>
        <w:numPr>
          <w:ilvl w:val="0"/>
          <w:numId w:val="5"/>
        </w:numPr>
        <w:spacing w:after="90" w:line="276" w:lineRule="auto"/>
        <w:jc w:val="both"/>
      </w:pPr>
      <w:r>
        <w:t xml:space="preserve">Haz clic en "Procesar seleccionados". El panel de Actividad mostrará hoja por hoja cuántas columnas se escribieron.</w:t>
      </w:r>
    </w:p>
    <w:p>
      <w:pPr>
        <w:pStyle w:val="ListParagraph"/>
        <w:numPr>
          <w:ilvl w:val="0"/>
          <w:numId w:val="5"/>
        </w:numPr>
        <w:spacing w:after="90" w:line="276" w:lineRule="auto"/>
        <w:jc w:val="both"/>
      </w:pPr>
      <w:r>
        <w:t xml:space="preserve">Luego de que termina de procesar saltará un mensaje pop-up que dirá los archivos que se procesaron los OK, los errores (ERR) y cuanto tardo en cada uno.</w:t>
      </w:r>
    </w:p>
    <w:p>
      <w:pPr>
        <w:keepLines/>
        <w:spacing w:after="180" w:before="120" w:line="240" w:lineRule="auto"/>
        <w:jc w:val="center"/>
      </w:pPr>
      <w:r>
        <w:drawing>
          <wp:inline distT="0" distB="0" distL="0" distR="0">
            <wp:extent cx="4572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771775"/>
                    </a:xfrm>
                    <a:prstGeom prst="rect">
                      <a:avLst/>
                    </a:prstGeom>
                  </pic:spPr>
                </pic:pic>
              </a:graphicData>
            </a:graphic>
          </wp:inline>
        </w:drawing>
      </w:r>
    </w:p>
    <w:p>
      <w:pPr>
        <w:pStyle w:val="ListParagraph"/>
        <w:numPr>
          <w:ilvl w:val="0"/>
          <w:numId w:val="5"/>
        </w:numPr>
        <w:spacing w:after="90" w:line="276" w:lineRule="auto"/>
        <w:jc w:val="both"/>
      </w:pPr>
      <w:r>
        <w:t xml:space="preserve">Si un archivo falla, la aplicación reintenta hasta 5 veces. Puedes volver a ejecutar el proceso — las hojas ya llenadas se saltarán automáticamente. Debido a que revisa los registros anteriores.</w:t>
      </w:r>
    </w:p>
    <w:p>
      <w:pPr>
        <w:pStyle w:val="ListParagraph"/>
        <w:numPr>
          <w:ilvl w:val="0"/>
          <w:numId w:val="5"/>
        </w:numPr>
        <w:spacing w:after="90" w:line="276" w:lineRule="auto"/>
        <w:jc w:val="both"/>
      </w:pPr>
      <w:r>
        <w:t xml:space="preserve">Luego de hacer click en aceptar se puede ver en la actividad el detalle de los archivos que tomo como base para rellenar el archivo deseado.</w:t>
      </w:r>
    </w:p>
    <w:p>
      <w:pPr>
        <w:keepLines/>
        <w:spacing w:after="180" w:before="120" w:line="240" w:lineRule="auto"/>
        <w:jc w:val="center"/>
      </w:pPr>
      <w:r>
        <w:drawing>
          <wp:inline distT="0" distB="0" distL="0" distR="0">
            <wp:extent cx="38385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38575" cy="2162175"/>
                    </a:xfrm>
                    <a:prstGeom prst="rect">
                      <a:avLst/>
                    </a:prstGeom>
                  </pic:spPr>
                </pic:pic>
              </a:graphicData>
            </a:graphic>
          </wp:inline>
        </w:drawing>
      </w:r>
    </w:p>
    <w:p>
      <w:pPr>
        <w:pStyle w:val="Etiqueta"/>
      </w:pPr>
      <w:r>
        <w:rPr>
          <w:b/>
          <w:bCs/>
          <w:color w:val="2E74B5"/>
          <w:spacing w:val="24"/>
          <w:sz w:val="17"/>
          <w:szCs w:val="17"/>
        </w:rPr>
        <w:t xml:space="preserve">REGLAS AUTOMÁTICAS APLICADAS</w:t>
      </w:r>
    </w:p>
    <w:p>
      <w:pPr>
        <w:pStyle w:val="ListParagraph"/>
        <w:numPr>
          <w:ilvl w:val="0"/>
          <w:numId w:val="6"/>
        </w:numPr>
        <w:spacing w:after="70" w:line="268" w:lineRule="auto"/>
      </w:pPr>
      <w:r>
        <w:t xml:space="preserve">Hojas de balance: solo se procesan cuando el mes es 03 (marzo).</w:t>
      </w:r>
    </w:p>
    <w:p>
      <w:pPr>
        <w:pStyle w:val="ListParagraph"/>
        <w:numPr>
          <w:ilvl w:val="0"/>
          <w:numId w:val="6"/>
        </w:numPr>
        <w:spacing w:after="70" w:line="268" w:lineRule="auto"/>
      </w:pPr>
      <w:r>
        <w:t xml:space="preserve">Hojas con fórmulas en las celdas destino: se omiten sin modificar nada (sumas/subtotales).</w:t>
      </w:r>
    </w:p>
    <w:p>
      <w:pPr>
        <w:pStyle w:val="ListParagraph"/>
        <w:numPr>
          <w:ilvl w:val="0"/>
          <w:numId w:val="6"/>
        </w:numPr>
        <w:spacing w:after="70" w:line="268" w:lineRule="auto"/>
      </w:pPr>
      <w:r>
        <w:t xml:space="preserve">Hojas ya llenadas (con valores numéricos en la columna comparativa): se saltan.</w:t>
      </w:r>
    </w:p>
    <w:p>
      <w:pPr>
        <w:spacing w:after="100" w:before="0" w:line="120" w:lineRule="exact"/>
      </w:pPr>
      <w:r>
        <w:rPr>
          <w:sz w:val="10"/>
          <w:szCs w:val="10"/>
        </w:rPr>
        <w:t xml:space="preserve"/>
      </w:r>
    </w:p>
    <w:tbl>
      <w:tblPr>
        <w:tblW w:type="dxa" w:w="9360"/>
        <w:tblBorders>
          <w:top w:val="none" w:color="FFFFFF" w:sz="0"/>
          <w:left w:val="single" w:color="9C5A00" w:sz="18"/>
          <w:bottom w:val="none" w:color="FFFFFF" w:sz="0"/>
          <w:right w:val="none" w:color="FFFFFF" w:sz="0"/>
          <w:insideH w:val="none" w:color="FFFFFF" w:sz="0"/>
          <w:insideV w:val="none" w:color="FFFFFF" w:sz="0"/>
        </w:tblBorders>
      </w:tblPr>
      <w:tblGrid>
        <w:gridCol w:w="9360"/>
      </w:tblGrid>
      <w:tr>
        <w:trPr>
          <w:cantSplit/>
        </w:trPr>
        <w:tc>
          <w:tcPr>
            <w:tcW w:type="dxa" w:w="9360"/>
            <w:shd w:fill="FDF3E3" w:color="auto" w:val="clear"/>
            <w:tcMar>
              <w:top w:type="dxa" w:w="150"/>
              <w:left w:type="dxa" w:w="220"/>
              <w:bottom w:type="dxa" w:w="150"/>
              <w:right w:type="dxa" w:w="200"/>
            </w:tcMar>
          </w:tcPr>
          <w:p>
            <w:pPr>
              <w:spacing w:after="0" w:line="264" w:lineRule="auto"/>
            </w:pPr>
            <w:r>
              <w:rPr>
                <w:b/>
                <w:bCs/>
                <w:color w:val="9C5A00"/>
                <w:sz w:val="21"/>
                <w:szCs w:val="21"/>
              </w:rPr>
              <w:t xml:space="preserve">⚠  Nota:  </w:t>
            </w:r>
            <w:r>
              <w:rPr>
                <w:color w:val="262626"/>
                <w:sz w:val="21"/>
                <w:szCs w:val="21"/>
              </w:rPr>
              <w:t xml:space="preserve">Módulo en desarrollo activo.</w:t>
            </w:r>
          </w:p>
        </w:tc>
      </w:tr>
    </w:tbl>
    <w:p>
      <w:pPr>
        <w:pageBreakBefore/>
        <w:spacing w:after="0" w:before="0" w:line="20" w:lineRule="exact"/>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80"/>
        <w:gridCol w:w="6600"/>
        <w:gridCol w:w="1980"/>
      </w:tblGrid>
      <w:tr>
        <w:trPr>
          <w:cantSplit/>
        </w:trPr>
        <w:tc>
          <w:tcPr>
            <w:tcW w:type="dxa" w:w="780"/>
            <w:shd w:fill="12385F" w:color="auto" w:val="clear"/>
            <w:tcMar>
              <w:top w:type="dxa" w:w="110"/>
              <w:left w:type="dxa" w:w="0"/>
              <w:bottom w:type="dxa" w:w="110"/>
              <w:right w:type="dxa" w:w="0"/>
            </w:tcMar>
            <w:vAlign w:val="center"/>
          </w:tcPr>
          <w:p>
            <w:pPr>
              <w:spacing w:after="0" w:before="0"/>
              <w:jc w:val="center"/>
            </w:pPr>
            <w:r>
              <w:rPr>
                <w:b/>
                <w:bCs/>
                <w:color w:val="FFFFFF"/>
                <w:sz w:val="26"/>
                <w:szCs w:val="26"/>
              </w:rPr>
              <w:t xml:space="preserve">03</w:t>
            </w:r>
          </w:p>
        </w:tc>
        <w:tc>
          <w:tcPr>
            <w:tcW w:type="dxa" w:w="6600"/>
            <w:shd w:fill="DCE8F7" w:color="auto" w:val="clear"/>
            <w:tcMar>
              <w:top w:type="dxa" w:w="110"/>
              <w:left w:type="dxa" w:w="200"/>
              <w:bottom w:type="dxa" w:w="110"/>
              <w:right w:type="dxa" w:w="120"/>
            </w:tcMar>
            <w:vAlign w:val="center"/>
          </w:tcPr>
          <w:p>
            <w:pPr>
              <w:pStyle w:val="TituloModulo"/>
            </w:pPr>
            <w:r>
              <w:rPr>
                <w:b/>
                <w:bCs/>
                <w:color w:val="12385F"/>
                <w:sz w:val="26"/>
                <w:szCs w:val="26"/>
              </w:rPr>
              <w:t xml:space="preserve">Flujo de Efectivo</w:t>
            </w:r>
          </w:p>
        </w:tc>
        <w:tc>
          <w:tcPr>
            <w:tcW w:type="dxa" w:w="1980"/>
            <w:shd w:fill="DCE8F7" w:color="auto" w:val="clear"/>
            <w:tcMar>
              <w:top w:type="dxa" w:w="110"/>
              <w:left w:type="dxa" w:w="120"/>
              <w:bottom w:type="dxa" w:w="110"/>
              <w:right w:type="dxa" w:w="180"/>
            </w:tcMar>
            <w:vAlign w:val="center"/>
          </w:tcPr>
          <w:p>
            <w:pPr>
              <w:spacing w:after="0" w:before="0"/>
              <w:jc w:val="right"/>
            </w:pPr>
            <w:r>
              <w:rPr>
                <w:b/>
                <w:bCs/>
                <w:color w:val="1E7A46"/>
                <w:sz w:val="17"/>
                <w:szCs w:val="17"/>
              </w:rPr>
              <w:t xml:space="preserve">● Disponible</w:t>
            </w:r>
          </w:p>
        </w:tc>
      </w:tr>
    </w:tbl>
    <w:p>
      <w:pPr>
        <w:spacing w:after="140" w:before="0" w:line="120" w:lineRule="exact"/>
      </w:pPr>
      <w:r>
        <w:rPr>
          <w:sz w:val="10"/>
          <w:szCs w:val="10"/>
        </w:rPr>
        <w:t xml:space="preserve"/>
      </w:r>
    </w:p>
    <w:p>
      <w:pPr>
        <w:pStyle w:val="Etiqueta"/>
      </w:pPr>
      <w:r>
        <w:rPr>
          <w:b/>
          <w:bCs/>
          <w:color w:val="2E74B5"/>
          <w:spacing w:val="24"/>
          <w:sz w:val="17"/>
          <w:szCs w:val="17"/>
        </w:rPr>
        <w:t xml:space="preserve">QUÉ HACE</w:t>
      </w:r>
    </w:p>
    <w:p>
      <w:pPr>
        <w:spacing w:after="140" w:line="276" w:lineRule="auto"/>
        <w:jc w:val="both"/>
      </w:pPr>
      <w:r>
        <w:t xml:space="preserve">Descarga el Estado de Flujo de Efectivo de una o más sociedades directamente desde la aplicación de “Flujo Internacional” y lo guarda como un archivo Excel (.xlsx) en la carpeta que el usuario elija en su computador. Incluye el detalle de los movimientos que componen cada uno de los ítems del flujo.  Esto ocurre siempre que el flujo se haya generado en la aplicación, en caso contrario, se extraerá una versión preliminar del flujo.</w:t>
      </w:r>
    </w:p>
    <w:p>
      <w:pPr>
        <w:pStyle w:val="Etiqueta"/>
      </w:pPr>
      <w:r>
        <w:rPr>
          <w:b/>
          <w:bCs/>
          <w:color w:val="2E74B5"/>
          <w:spacing w:val="24"/>
          <w:sz w:val="17"/>
          <w:szCs w:val="17"/>
        </w:rPr>
        <w:t xml:space="preserve">CAMPOS DE ENTRADA</w:t>
      </w:r>
    </w:p>
    <w:p>
      <w:pPr>
        <w:pStyle w:val="ListParagraph"/>
        <w:numPr>
          <w:ilvl w:val="0"/>
          <w:numId w:val="2"/>
        </w:numPr>
        <w:spacing w:after="50" w:line="264" w:lineRule="auto"/>
      </w:pPr>
      <w:r>
        <w:rPr>
          <w:sz w:val="21"/>
          <w:szCs w:val="21"/>
        </w:rPr>
        <w:t xml:space="preserve">Mes</w:t>
      </w:r>
    </w:p>
    <w:p>
      <w:pPr>
        <w:pStyle w:val="ListParagraph"/>
        <w:numPr>
          <w:ilvl w:val="0"/>
          <w:numId w:val="2"/>
        </w:numPr>
        <w:spacing w:after="50" w:line="264" w:lineRule="auto"/>
      </w:pPr>
      <w:r>
        <w:rPr>
          <w:sz w:val="21"/>
          <w:szCs w:val="21"/>
        </w:rPr>
        <w:t xml:space="preserve">Año</w:t>
      </w:r>
    </w:p>
    <w:p>
      <w:pPr>
        <w:pStyle w:val="ListParagraph"/>
        <w:numPr>
          <w:ilvl w:val="0"/>
          <w:numId w:val="2"/>
        </w:numPr>
        <w:spacing w:after="50" w:line="264" w:lineRule="auto"/>
      </w:pPr>
      <w:r>
        <w:rPr>
          <w:sz w:val="21"/>
          <w:szCs w:val="21"/>
        </w:rPr>
        <w:t xml:space="preserve">Carpeta de salida</w:t>
      </w:r>
    </w:p>
    <w:p>
      <w:pPr>
        <w:pStyle w:val="Etiqueta"/>
      </w:pPr>
      <w:r>
        <w:rPr>
          <w:b/>
          <w:bCs/>
          <w:color w:val="2E74B5"/>
          <w:spacing w:val="24"/>
          <w:sz w:val="17"/>
          <w:szCs w:val="17"/>
        </w:rPr>
        <w:t xml:space="preserve">CONDICIONES NECESARIAS</w:t>
      </w:r>
    </w:p>
    <w:p>
      <w:pPr>
        <w:pStyle w:val="ListParagraph"/>
        <w:numPr>
          <w:ilvl w:val="0"/>
          <w:numId w:val="3"/>
        </w:numPr>
        <w:spacing w:after="70" w:line="268" w:lineRule="auto"/>
      </w:pPr>
      <w:r>
        <w:t xml:space="preserve">Tener una carpeta local donde se guardará el archivo .xlsx generado.</w:t>
      </w:r>
    </w:p>
    <w:p>
      <w:pPr>
        <w:pStyle w:val="ListParagraph"/>
        <w:numPr>
          <w:ilvl w:val="0"/>
          <w:numId w:val="3"/>
        </w:numPr>
        <w:spacing w:after="70" w:line="268" w:lineRule="auto"/>
      </w:pPr>
      <w:r>
        <w:t xml:space="preserve">Haber generado el flujo en la aplicación “Flujo Internacional”.</w:t>
      </w:r>
    </w:p>
    <w:p>
      <w:pPr>
        <w:pStyle w:val="Etiqueta"/>
      </w:pPr>
      <w:r>
        <w:rPr>
          <w:b/>
          <w:bCs/>
          <w:color w:val="2E74B5"/>
          <w:spacing w:val="24"/>
          <w:sz w:val="17"/>
          <w:szCs w:val="17"/>
        </w:rPr>
        <w:t xml:space="preserve">PASOS DE USO</w:t>
      </w:r>
    </w:p>
    <w:p>
      <w:pPr>
        <w:pStyle w:val="ListParagraph"/>
        <w:numPr>
          <w:ilvl w:val="0"/>
          <w:numId w:val="7"/>
        </w:numPr>
        <w:spacing w:after="90" w:line="276" w:lineRule="auto"/>
        <w:jc w:val="both"/>
      </w:pPr>
      <w:r>
        <w:t xml:space="preserve">Escribe el mes y año del período a descargar (ej: 06-2026)</w:t>
      </w:r>
    </w:p>
    <w:p>
      <w:pPr>
        <w:pStyle w:val="ListParagraph"/>
        <w:numPr>
          <w:ilvl w:val="0"/>
          <w:numId w:val="7"/>
        </w:numPr>
        <w:spacing w:after="90" w:line="276" w:lineRule="auto"/>
        <w:jc w:val="both"/>
      </w:pPr>
      <w:r>
        <w:t xml:space="preserve">Haz clic en "Examinar…" para elegir la carpeta donde se guardará el archivo.</w:t>
      </w:r>
    </w:p>
    <w:p>
      <w:pPr>
        <w:pStyle w:val="ListParagraph"/>
        <w:numPr>
          <w:ilvl w:val="0"/>
          <w:numId w:val="7"/>
        </w:numPr>
        <w:spacing w:after="90" w:line="276" w:lineRule="auto"/>
        <w:jc w:val="both"/>
      </w:pPr>
      <w:r>
        <w:t xml:space="preserve">Presiona "Procesar". La aplicación descargará el flujo desde la aplicación “Flujo Internacional”.</w:t>
      </w:r>
    </w:p>
    <w:p>
      <w:pPr>
        <w:keepLines/>
        <w:spacing w:after="180" w:before="120" w:line="240" w:lineRule="auto"/>
        <w:jc w:val="center"/>
      </w:pPr>
      <w:r>
        <w:drawing>
          <wp:inline distT="0" distB="0" distL="0" distR="0">
            <wp:extent cx="54864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1628775"/>
                    </a:xfrm>
                    <a:prstGeom prst="rect">
                      <a:avLst/>
                    </a:prstGeom>
                  </pic:spPr>
                </pic:pic>
              </a:graphicData>
            </a:graphic>
          </wp:inline>
        </w:drawing>
      </w:r>
    </w:p>
    <w:p>
      <w:pPr>
        <w:keepLines/>
        <w:spacing w:after="180" w:before="120" w:line="240" w:lineRule="auto"/>
        <w:jc w:val="center"/>
      </w:pPr>
      <w:r>
        <w:drawing>
          <wp:inline distT="0" distB="0" distL="0" distR="0">
            <wp:extent cx="54864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85750"/>
                    </a:xfrm>
                    <a:prstGeom prst="rect">
                      <a:avLst/>
                    </a:prstGeom>
                  </pic:spPr>
                </pic:pic>
              </a:graphicData>
            </a:graphic>
          </wp:inline>
        </w:drawing>
      </w:r>
    </w:p>
    <w:p>
      <w:pPr>
        <w:keepLines/>
        <w:spacing w:after="180" w:before="120" w:line="240" w:lineRule="auto"/>
        <w:jc w:val="center"/>
      </w:pPr>
      <w:r>
        <w:drawing>
          <wp:inline distT="0" distB="0" distL="0" distR="0">
            <wp:extent cx="4752975"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52975" cy="2381250"/>
                    </a:xfrm>
                    <a:prstGeom prst="rect">
                      <a:avLst/>
                    </a:prstGeom>
                  </pic:spPr>
                </pic:pic>
              </a:graphicData>
            </a:graphic>
          </wp:inline>
        </w:drawing>
      </w:r>
    </w:p>
    <w:p>
      <w:pPr>
        <w:pStyle w:val="ListParagraph"/>
        <w:numPr>
          <w:ilvl w:val="0"/>
          <w:numId w:val="7"/>
        </w:numPr>
        <w:spacing w:after="90" w:line="276" w:lineRule="auto"/>
        <w:jc w:val="both"/>
      </w:pPr>
      <w:r>
        <w:t xml:space="preserve">Al finalizar, aparecerá un mensaje de flujo generado diciendo que el archivo .xlsx se generó correctamente y esta guardado en la carpeta de salida elegida.</w:t>
      </w:r>
    </w:p>
    <w:p>
      <w:pPr>
        <w:pageBreakBefore/>
        <w:spacing w:after="0" w:before="0" w:line="20" w:lineRule="exact"/>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780"/>
        <w:gridCol w:w="6600"/>
        <w:gridCol w:w="1980"/>
      </w:tblGrid>
      <w:tr>
        <w:trPr>
          <w:cantSplit/>
        </w:trPr>
        <w:tc>
          <w:tcPr>
            <w:tcW w:type="dxa" w:w="780"/>
            <w:shd w:fill="12385F" w:color="auto" w:val="clear"/>
            <w:tcMar>
              <w:top w:type="dxa" w:w="110"/>
              <w:left w:type="dxa" w:w="0"/>
              <w:bottom w:type="dxa" w:w="110"/>
              <w:right w:type="dxa" w:w="0"/>
            </w:tcMar>
            <w:vAlign w:val="center"/>
          </w:tcPr>
          <w:p>
            <w:pPr>
              <w:spacing w:after="0" w:before="0"/>
              <w:jc w:val="center"/>
            </w:pPr>
            <w:r>
              <w:rPr>
                <w:b/>
                <w:bCs/>
                <w:color w:val="FFFFFF"/>
                <w:sz w:val="26"/>
                <w:szCs w:val="26"/>
              </w:rPr>
              <w:t xml:space="preserve">04</w:t>
            </w:r>
          </w:p>
        </w:tc>
        <w:tc>
          <w:tcPr>
            <w:tcW w:type="dxa" w:w="6600"/>
            <w:shd w:fill="DCE8F7" w:color="auto" w:val="clear"/>
            <w:tcMar>
              <w:top w:type="dxa" w:w="110"/>
              <w:left w:type="dxa" w:w="200"/>
              <w:bottom w:type="dxa" w:w="110"/>
              <w:right w:type="dxa" w:w="120"/>
            </w:tcMar>
            <w:vAlign w:val="center"/>
          </w:tcPr>
          <w:p>
            <w:pPr>
              <w:pStyle w:val="TituloModulo"/>
            </w:pPr>
            <w:r>
              <w:rPr>
                <w:b/>
                <w:bCs/>
                <w:color w:val="12385F"/>
                <w:sz w:val="26"/>
                <w:szCs w:val="26"/>
              </w:rPr>
              <w:t xml:space="preserve">Validar Comparativos</w:t>
            </w:r>
          </w:p>
        </w:tc>
        <w:tc>
          <w:tcPr>
            <w:tcW w:type="dxa" w:w="1980"/>
            <w:shd w:fill="DCE8F7" w:color="auto" w:val="clear"/>
            <w:tcMar>
              <w:top w:type="dxa" w:w="110"/>
              <w:left w:type="dxa" w:w="120"/>
              <w:bottom w:type="dxa" w:w="110"/>
              <w:right w:type="dxa" w:w="180"/>
            </w:tcMar>
            <w:vAlign w:val="center"/>
          </w:tcPr>
          <w:p>
            <w:pPr>
              <w:spacing w:after="0" w:before="0"/>
              <w:jc w:val="right"/>
            </w:pPr>
            <w:r>
              <w:rPr>
                <w:b/>
                <w:bCs/>
                <w:color w:val="1E7A46"/>
                <w:sz w:val="17"/>
                <w:szCs w:val="17"/>
              </w:rPr>
              <w:t xml:space="preserve">● Disponible</w:t>
            </w:r>
          </w:p>
        </w:tc>
      </w:tr>
    </w:tbl>
    <w:p>
      <w:pPr>
        <w:spacing w:after="140" w:before="0" w:line="120" w:lineRule="exact"/>
      </w:pPr>
      <w:r>
        <w:rPr>
          <w:sz w:val="10"/>
          <w:szCs w:val="10"/>
        </w:rPr>
        <w:t xml:space="preserve"/>
      </w:r>
    </w:p>
    <w:p>
      <w:pPr>
        <w:pStyle w:val="Etiqueta"/>
      </w:pPr>
      <w:r>
        <w:rPr>
          <w:b/>
          <w:bCs/>
          <w:color w:val="2E74B5"/>
          <w:spacing w:val="24"/>
          <w:sz w:val="17"/>
          <w:szCs w:val="17"/>
        </w:rPr>
        <w:t xml:space="preserve">QUÉ HACE</w:t>
      </w:r>
    </w:p>
    <w:p>
      <w:pPr>
        <w:spacing w:after="140" w:line="276" w:lineRule="auto"/>
        <w:jc w:val="both"/>
      </w:pPr>
      <w:r>
        <w:t xml:space="preserve">Verifica que las columnas comparativas de los archivos IND o CONSO estén correctamente llenadas para un período dado. Detecta inconsistencias o celdas vacías.</w:t>
      </w:r>
    </w:p>
    <w:p>
      <w:pPr>
        <w:spacing w:after="140" w:line="276" w:lineRule="auto"/>
        <w:jc w:val="both"/>
      </w:pPr>
      <w:r>
        <w:t xml:space="preserve">Genera un archivo Excel (.xlsx) con una fila o sección por cada hoja procesada, indicando el detalle de observaciones encontradas en cada una. Se guarda en la carpeta de salida elegida y no escribe nada dentro de Workiva.</w:t>
      </w:r>
    </w:p>
    <w:p>
      <w:pPr>
        <w:pStyle w:val="Etiqueta"/>
      </w:pPr>
      <w:r>
        <w:rPr>
          <w:b/>
          <w:bCs/>
          <w:color w:val="2E74B5"/>
          <w:spacing w:val="24"/>
          <w:sz w:val="17"/>
          <w:szCs w:val="17"/>
        </w:rPr>
        <w:t xml:space="preserve">CAMPOS DE ENTRADA</w:t>
      </w:r>
    </w:p>
    <w:p>
      <w:pPr>
        <w:pStyle w:val="ListParagraph"/>
        <w:numPr>
          <w:ilvl w:val="0"/>
          <w:numId w:val="2"/>
        </w:numPr>
        <w:spacing w:after="50" w:line="264" w:lineRule="auto"/>
      </w:pPr>
      <w:r>
        <w:rPr>
          <w:sz w:val="21"/>
          <w:szCs w:val="21"/>
        </w:rPr>
        <w:t xml:space="preserve">Sociedad (ej: E215 o 215)</w:t>
      </w:r>
    </w:p>
    <w:p>
      <w:pPr>
        <w:pStyle w:val="ListParagraph"/>
        <w:numPr>
          <w:ilvl w:val="0"/>
          <w:numId w:val="2"/>
        </w:numPr>
        <w:spacing w:after="50" w:line="264" w:lineRule="auto"/>
      </w:pPr>
      <w:r>
        <w:rPr>
          <w:sz w:val="21"/>
          <w:szCs w:val="21"/>
        </w:rPr>
        <w:t xml:space="preserve">Año</w:t>
      </w:r>
    </w:p>
    <w:p>
      <w:pPr>
        <w:pStyle w:val="ListParagraph"/>
        <w:numPr>
          <w:ilvl w:val="0"/>
          <w:numId w:val="2"/>
        </w:numPr>
        <w:spacing w:after="50" w:line="264" w:lineRule="auto"/>
      </w:pPr>
      <w:r>
        <w:rPr>
          <w:sz w:val="21"/>
          <w:szCs w:val="21"/>
        </w:rPr>
        <w:t xml:space="preserve">Trimestre</w:t>
      </w:r>
    </w:p>
    <w:p>
      <w:pPr>
        <w:pStyle w:val="ListParagraph"/>
        <w:numPr>
          <w:ilvl w:val="0"/>
          <w:numId w:val="2"/>
        </w:numPr>
        <w:spacing w:after="50" w:line="264" w:lineRule="auto"/>
      </w:pPr>
      <w:r>
        <w:rPr>
          <w:sz w:val="21"/>
          <w:szCs w:val="21"/>
        </w:rPr>
        <w:t xml:space="preserve">Tipo (CONSO por defecto)</w:t>
      </w:r>
    </w:p>
    <w:p>
      <w:pPr>
        <w:pStyle w:val="ListParagraph"/>
        <w:numPr>
          <w:ilvl w:val="0"/>
          <w:numId w:val="2"/>
        </w:numPr>
        <w:spacing w:after="50" w:line="264" w:lineRule="auto"/>
      </w:pPr>
      <w:r>
        <w:rPr>
          <w:sz w:val="21"/>
          <w:szCs w:val="21"/>
        </w:rPr>
        <w:t xml:space="preserve">Carpeta de salida</w:t>
      </w:r>
    </w:p>
    <w:p>
      <w:pPr>
        <w:pStyle w:val="Etiqueta"/>
      </w:pPr>
      <w:r>
        <w:rPr>
          <w:b/>
          <w:bCs/>
          <w:color w:val="2E74B5"/>
          <w:spacing w:val="24"/>
          <w:sz w:val="17"/>
          <w:szCs w:val="17"/>
        </w:rPr>
        <w:t xml:space="preserve">CONDICIONES NECESARIAS</w:t>
      </w:r>
    </w:p>
    <w:p>
      <w:pPr>
        <w:pStyle w:val="ListParagraph"/>
        <w:numPr>
          <w:ilvl w:val="0"/>
          <w:numId w:val="3"/>
        </w:numPr>
        <w:spacing w:after="70" w:line="268" w:lineRule="auto"/>
      </w:pPr>
      <w:r>
        <w:t xml:space="preserve">Que los comparativos ya hayan sido llenados (ejecutar "Llenar Comparativos" primero).</w:t>
      </w:r>
    </w:p>
    <w:p>
      <w:pPr>
        <w:pStyle w:val="ListParagraph"/>
        <w:numPr>
          <w:ilvl w:val="0"/>
          <w:numId w:val="3"/>
        </w:numPr>
        <w:spacing w:after="70" w:line="268" w:lineRule="auto"/>
      </w:pPr>
      <w:r>
        <w:t xml:space="preserve">Tener una carpeta local donde se guardará el archivo .xlsx con los resultados.</w:t>
      </w:r>
    </w:p>
    <w:p>
      <w:pPr>
        <w:pStyle w:val="ListParagraph"/>
        <w:numPr>
          <w:ilvl w:val="0"/>
          <w:numId w:val="3"/>
        </w:numPr>
        <w:spacing w:after="70" w:line="268" w:lineRule="auto"/>
      </w:pPr>
      <w:r>
        <w:t xml:space="preserve">Conocer el código de la sociedad y el trimestre a revisar.</w:t>
      </w:r>
    </w:p>
    <w:p>
      <w:pPr>
        <w:pStyle w:val="Etiqueta"/>
      </w:pPr>
      <w:r>
        <w:rPr>
          <w:b/>
          <w:bCs/>
          <w:color w:val="2E74B5"/>
          <w:spacing w:val="24"/>
          <w:sz w:val="17"/>
          <w:szCs w:val="17"/>
        </w:rPr>
        <w:t xml:space="preserve">PASOS DE USO</w:t>
      </w:r>
    </w:p>
    <w:p>
      <w:pPr>
        <w:pStyle w:val="ListParagraph"/>
        <w:numPr>
          <w:ilvl w:val="0"/>
          <w:numId w:val="8"/>
        </w:numPr>
        <w:spacing w:after="90" w:line="276" w:lineRule="auto"/>
        <w:jc w:val="both"/>
      </w:pPr>
      <w:r>
        <w:t xml:space="preserve">Ingresa el código de Sociedad (ej: E215 o solo 215).</w:t>
      </w:r>
    </w:p>
    <w:p>
      <w:pPr>
        <w:pStyle w:val="ListParagraph"/>
        <w:numPr>
          <w:ilvl w:val="0"/>
          <w:numId w:val="8"/>
        </w:numPr>
        <w:spacing w:after="90" w:line="276" w:lineRule="auto"/>
        <w:jc w:val="both"/>
      </w:pPr>
      <w:r>
        <w:t xml:space="preserve">Completa el Año, el Trimestre (ej: 03=Q1 marzo, 06=Q2 junio, 09=Q3 septiembre, 12=Q4 diciembre) y el Tipo desde el parámetro desplegable (CONSO viene predeterminado).</w:t>
      </w:r>
    </w:p>
    <w:p>
      <w:pPr>
        <w:pStyle w:val="ListParagraph"/>
        <w:numPr>
          <w:ilvl w:val="0"/>
          <w:numId w:val="8"/>
        </w:numPr>
        <w:spacing w:after="90" w:line="276" w:lineRule="auto"/>
        <w:jc w:val="both"/>
      </w:pPr>
      <w:r>
        <w:t xml:space="preserve">Haz clic en "Examinar…" para elegir la carpeta donde se guardará el archivo .xlsx.</w:t>
      </w:r>
    </w:p>
    <w:p>
      <w:pPr>
        <w:keepLines/>
        <w:spacing w:after="180" w:before="120" w:line="240" w:lineRule="auto"/>
        <w:jc w:val="center"/>
      </w:pPr>
      <w:r>
        <w:drawing>
          <wp:inline distT="0" distB="0" distL="0" distR="0">
            <wp:extent cx="4752975"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52975" cy="2819400"/>
                    </a:xfrm>
                    <a:prstGeom prst="rect">
                      <a:avLst/>
                    </a:prstGeom>
                  </pic:spPr>
                </pic:pic>
              </a:graphicData>
            </a:graphic>
          </wp:inline>
        </w:drawing>
      </w:r>
    </w:p>
    <w:p>
      <w:pPr>
        <w:pStyle w:val="ListParagraph"/>
        <w:numPr>
          <w:ilvl w:val="0"/>
          <w:numId w:val="8"/>
        </w:numPr>
        <w:spacing w:after="90" w:line="276" w:lineRule="auto"/>
        <w:jc w:val="both"/>
      </w:pPr>
      <w:r>
        <w:t xml:space="preserve">Presiona "Validar". El panel de actividad muestra el progreso hoja por hoja.</w:t>
      </w:r>
    </w:p>
    <w:p>
      <w:pPr>
        <w:pStyle w:val="ListParagraph"/>
        <w:numPr>
          <w:ilvl w:val="0"/>
          <w:numId w:val="8"/>
        </w:numPr>
        <w:spacing w:after="90" w:line="276" w:lineRule="auto"/>
        <w:jc w:val="both"/>
      </w:pPr>
      <w:r>
        <w:t xml:space="preserve">Al finalizar, abre la carpeta de salida. El Excel generado tiene una fila o sección por cada hoja revisada con el detalle de sus observaciones.</w:t>
      </w:r>
    </w:p>
    <w:sectPr>
      <w:footerReference w:type="default" r:id="rId7"/>
      <w:pgSz w:w="12240" w:h="15840" w:orient="portrait"/>
      <w:pgMar w:top="1296" w:right="1440" w:bottom="1296" w:left="1440" w:header="708"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ieDePagina"/>
      <w:pBdr>
        <w:top w:val="single" w:color="D6DCE4" w:sz="4" w:space="6"/>
      </w:pBdr>
      <w:tabs>
        <w:tab w:val="right" w:pos="9360"/>
      </w:tabs>
    </w:pPr>
    <w:r>
      <w:rPr>
        <w:color w:val="808080"/>
        <w:sz w:val="17"/>
        <w:szCs w:val="17"/>
      </w:rPr>
      <w:t xml:space="preserve">Auditor CGE — Workiva  ·  Manual interno  ·  v2026</w:t>
    </w:r>
    <w:r>
      <w:rPr>
        <w:sz w:val="17"/>
        <w:szCs w:val="17"/>
      </w:rPr>
      <w:t xml:space="preserve">	</w:t>
    </w:r>
    <w:r>
      <w:rPr>
        <w:color w:val="808080"/>
        <w:sz w:val="17"/>
        <w:szCs w:val="17"/>
      </w:rPr>
      <w:t xml:space="preserve">Página </w:t>
    </w:r>
    <w:r>
      <w:rPr>
        <w:color w:val="808080"/>
        <w:sz w:val="17"/>
        <w:szCs w:val="17"/>
      </w:rPr>
      <w:fldChar w:fldCharType="begin"/>
      <w:instrText xml:space="preserve">PAGE</w:instrText>
      <w:fldChar w:fldCharType="separate"/>
      <w:fldChar w:fldCharType="end"/>
    </w:r>
    <w:r>
      <w:rPr>
        <w:color w:val="808080"/>
        <w:sz w:val="17"/>
        <w:szCs w:val="17"/>
      </w:rPr>
      <w:t xml:space="preserve"> de </w:t>
    </w:r>
    <w:r>
      <w:rPr>
        <w:color w:val="8080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360"/>
      </w:pPr>
      <w:rPr>
        <w:b/>
        <w:bCs/>
        <w:color w:val="2E74B5"/>
      </w:rPr>
    </w:lvl>
  </w:abstractNum>
  <w:abstractNum w:abstractNumId="3" w15:restartNumberingAfterBreak="0">
    <w:multiLevelType w:val="hybridMultilevel"/>
    <w:lvl w:ilvl="0" w15:tentative="1">
      <w:start w:val="1"/>
      <w:numFmt w:val="bullet"/>
      <w:lvlText w:val="✓"/>
      <w:lvlJc w:val="left"/>
      <w:pPr>
        <w:ind w:left="520" w:hanging="360"/>
      </w:pPr>
      <w:rPr>
        <w:rFonts w:ascii="Calibri" w:cs="Calibri" w:eastAsia="Calibri" w:hAnsi="Calibri"/>
        <w:b/>
        <w:bCs/>
        <w:color w:val="1E7A46"/>
      </w:rPr>
    </w:lvl>
  </w:abstractNum>
  <w:abstractNum w:abstractNumId="4" w15:restartNumberingAfterBreak="0">
    <w:multiLevelType w:val="hybridMultilevel"/>
    <w:lvl w:ilvl="0" w15:tentative="1">
      <w:start w:val="1"/>
      <w:numFmt w:val="bullet"/>
      <w:lvlText w:val="→"/>
      <w:lvlJc w:val="left"/>
      <w:pPr>
        <w:ind w:left="520" w:hanging="360"/>
      </w:pPr>
      <w:rPr>
        <w:rFonts w:ascii="Calibri" w:cs="Calibri" w:eastAsia="Calibri" w:hAnsi="Calibri"/>
        <w:b/>
        <w:bCs/>
        <w:color w:val="2E74B5"/>
      </w:rPr>
    </w:lvl>
  </w:abstractNum>
  <w:abstractNum w:abstractNumId="5" w15:restartNumberingAfterBreak="0">
    <w:multiLevelType w:val="hybridMultilevel"/>
    <w:lvl w:ilvl="0" w15:tentative="1">
      <w:start w:val="1"/>
      <w:numFmt w:val="bullet"/>
      <w:lvlText w:val="▪"/>
      <w:lvlJc w:val="left"/>
      <w:pPr>
        <w:ind w:left="460" w:hanging="260"/>
      </w:pPr>
      <w:rPr>
        <w:rFonts w:ascii="Calibri" w:cs="Calibri" w:eastAsia="Calibri" w:hAnsi="Calibri"/>
        <w:color w:val="2E74B5"/>
      </w:r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4"/>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6DCE4" w:sz="6" w:space="4"/>
      </w:pBdr>
      <w:spacing w:after="160" w:before="380"/>
      <w:outlineLvl w:val="0"/>
    </w:pPr>
    <w:rPr>
      <w:rFonts w:ascii="Calibri" w:cs="Calibri" w:eastAsia="Calibri" w:hAnsi="Calibri"/>
      <w:b/>
      <w:bCs/>
      <w:color w:val="12385F"/>
      <w:sz w:val="30"/>
      <w:szCs w:val="30"/>
    </w:rPr>
  </w:style>
  <w:style w:type="paragraph" w:styleId="TituloModulo">
    <w:name w:val="Titulo Modulo"/>
    <w:basedOn w:val="Normal"/>
    <w:next w:val="Normal"/>
    <w:pPr>
      <w:keepNext/>
      <w:spacing w:after="0" w:before="0"/>
      <w:outlineLvl w:val="0"/>
    </w:pPr>
    <w:rPr>
      <w:rFonts w:ascii="Calibri" w:cs="Calibri" w:eastAsia="Calibri" w:hAnsi="Calibri"/>
      <w:b/>
      <w:bCs/>
      <w:color w:val="12385F"/>
      <w:sz w:val="26"/>
      <w:szCs w:val="26"/>
    </w:rPr>
  </w:style>
  <w:style w:type="paragraph" w:styleId="Etiqueta">
    <w:name w:val="Etiqueta"/>
    <w:basedOn w:val="Normal"/>
    <w:next w:val="Normal"/>
    <w:pPr>
      <w:keepNext/>
      <w:spacing w:after="80" w:before="260"/>
      <w:outlineLvl w:val="1"/>
    </w:pPr>
    <w:rPr>
      <w:rFonts w:ascii="Calibri" w:cs="Calibri" w:eastAsia="Calibri" w:hAnsi="Calibri"/>
      <w:b/>
      <w:bCs/>
      <w:color w:val="2E74B5"/>
      <w:sz w:val="17"/>
      <w:szCs w:val="17"/>
    </w:rPr>
  </w:style>
  <w:style w:type="paragraph" w:styleId="PieDePagina">
    <w:name w:val="Pie de pagina"/>
    <w:basedOn w:val="Normal"/>
    <w:next w:val="Normal"/>
    <w:pPr>
      <w:spacing w:after="0" w:before="0" w:line="240" w:lineRule="auto"/>
    </w:pPr>
    <w:rPr>
      <w:rFonts w:ascii="Calibri" w:cs="Calibri" w:eastAsia="Calibri" w:hAnsi="Calibri"/>
      <w:color w:val="808080"/>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30451377201d01fa238ef9c898b0f7911a4173.png"/><Relationship Id="rId9" Type="http://schemas.openxmlformats.org/officeDocument/2006/relationships/image" Target="media/453cb5ff2cc58d98a443d95fad0b8d0dc632d3dd.png"/><Relationship Id="rId10" Type="http://schemas.openxmlformats.org/officeDocument/2006/relationships/image" Target="media/65054fd5008ad40b2eec2ae3440ed450a669350d.png"/><Relationship Id="rId11" Type="http://schemas.openxmlformats.org/officeDocument/2006/relationships/image" Target="media/a43cf7ade8b4a9361c5b9b7842125c967c811a3f.png"/><Relationship Id="rId12" Type="http://schemas.openxmlformats.org/officeDocument/2006/relationships/image" Target="media/3353e2735ee7357bebc54b085b916fd3043eb47f.png"/><Relationship Id="rId13" Type="http://schemas.openxmlformats.org/officeDocument/2006/relationships/image" Target="media/417e1e8f79bc46c3f2ec7a98553e16ec131d4e10.png"/><Relationship Id="rId14" Type="http://schemas.openxmlformats.org/officeDocument/2006/relationships/image" Target="media/2ecdb800aa82e32be942384c3690ae704684361e.png"/><Relationship Id="rId15" Type="http://schemas.openxmlformats.org/officeDocument/2006/relationships/image" Target="media/b27551bb8ff5a498df2796e07e91af2a60e9069b.png"/><Relationship Id="rId16" Type="http://schemas.openxmlformats.org/officeDocument/2006/relationships/image" Target="media/8dc4b51d593c9fa02d58d101ca6b8b87506cfe1d.png"/><Relationship Id="rId17" Type="http://schemas.openxmlformats.org/officeDocument/2006/relationships/image" Target="media/daea4b6bbd3fe7ac06a3e571441414dad069727a.png"/><Relationship Id="rId18" Type="http://schemas.openxmlformats.org/officeDocument/2006/relationships/image" Target="media/d62f1861f574c16b6df1bab7225ec55afecffefa.png"/><Relationship Id="rId19" Type="http://schemas.openxmlformats.org/officeDocument/2006/relationships/image" Target="media/1de15cc0d93d02c16d48ba3b7db4addd37c6cbe5.png"/><Relationship Id="rId20" Type="http://schemas.openxmlformats.org/officeDocument/2006/relationships/image" Target="media/38fec2d018827a18b6772737467d54c32dc39ad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 CGE — Workiva · Manual de Módulos</dc:title>
  <dc:creator>CGE</dc:creator>
  <dc:description>Manual de módulos de la aplicación Auditor CGE — Workiva</dc:description>
  <cp:lastModifiedBy>Un-named</cp:lastModifiedBy>
  <cp:revision>1</cp:revision>
  <dcterms:created xsi:type="dcterms:W3CDTF">2026-08-03T20:53:15.330Z</dcterms:created>
  <dcterms:modified xsi:type="dcterms:W3CDTF">2026-08-03T20:53:15.331Z</dcterms:modified>
</cp:coreProperties>
</file>

<file path=docProps/custom.xml><?xml version="1.0" encoding="utf-8"?>
<Properties xmlns="http://schemas.openxmlformats.org/officeDocument/2006/custom-properties" xmlns:vt="http://schemas.openxmlformats.org/officeDocument/2006/docPropsVTypes"/>
</file>