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864"/>
          <w:sz w:val="52"/>
          <w:szCs w:val="52"/>
        </w:rPr>
        <w:t xml:space="preserve">Arquitectura de Workiva</w:t>
      </w:r>
    </w:p>
    <w:p>
      <w:pPr>
        <w:pBdr>
          <w:bottom w:val="single" w:color="2E74B5" w:sz="18" w:space="6"/>
        </w:pBdr>
        <w:spacing w:after="240"/>
      </w:pPr>
    </w:p>
    <w:p>
      <w:pPr>
        <w:spacing w:after="120" w:line="288"/>
        <w:jc w:val="both"/>
      </w:pPr>
      <w:r>
        <w:rPr>
          <w:rFonts w:ascii="Calibri" w:cs="Calibri" w:eastAsia="Calibri" w:hAnsi="Calibri"/>
          <w:color w:val="44546A"/>
          <w:sz w:val="23"/>
          <w:szCs w:val="23"/>
        </w:rPr>
        <w:t xml:space="preserve">Este documento presenta una descripción detallada de los procesos involucrados en la elaboración de los Estados Financieros en Workiva, considerando las distintas fuentes de información.</w:t>
      </w:r>
    </w:p>
    <w:p>
      <w:pPr>
        <w:pStyle w:val="Heading1"/>
      </w:pPr>
      <w:r>
        <w:t xml:space="preserve">1. Sistemas involucrados</w:t>
      </w:r>
    </w:p>
    <w:tbl>
      <w:tblPr>
        <w:tblW w:type="dxa" w:w="9360"/>
        <w:tblBorders>
          <w:top w:val="single" w:color="1F3864" w:sz="4"/>
          <w:left w:val="none" w:color="FFFFFF" w:sz="0"/>
          <w:bottom w:val="single" w:color="1F3864" w:sz="4"/>
          <w:right w:val="none" w:color="FFFFFF" w:sz="0"/>
          <w:insideH w:val="single" w:color="D6DCE4" w:sz="4"/>
          <w:insideV w:val="none" w:color="FFFFFF" w:sz="0"/>
        </w:tblBorders>
      </w:tblPr>
      <w:tblGrid>
        <w:gridCol w:w="2340"/>
        <w:gridCol w:w="7020"/>
      </w:tblGrid>
      <w:tr>
        <w:trPr>
          <w:cantSplit/>
          <w:tblHeader/>
        </w:trPr>
        <w:tc>
          <w:tcPr>
            <w:tcW w:type="dxa" w:w="2340"/>
            <w:shd w:fill="1F3864" w:color="auto" w:val="clear"/>
            <w:tcMar>
              <w:top w:type="dxa" w:w="90"/>
              <w:left w:type="dxa" w:w="140"/>
              <w:bottom w:type="dxa" w:w="90"/>
              <w:right w:type="dxa" w:w="140"/>
            </w:tcMar>
            <w:vAlign w:val="center"/>
          </w:tcPr>
          <w:p>
            <w:pPr>
              <w:spacing w:after="20" w:before="20"/>
              <w:jc w:val="left"/>
            </w:pPr>
            <w:r>
              <w:rPr>
                <w:b/>
                <w:bCs/>
                <w:color w:val="FFFFFF"/>
                <w:sz w:val="21"/>
                <w:szCs w:val="21"/>
              </w:rPr>
              <w:t xml:space="preserve">Sistema</w:t>
            </w:r>
          </w:p>
        </w:tc>
        <w:tc>
          <w:tcPr>
            <w:tcW w:type="dxa" w:w="7020"/>
            <w:shd w:fill="1F3864" w:color="auto" w:val="clear"/>
            <w:tcMar>
              <w:top w:type="dxa" w:w="90"/>
              <w:left w:type="dxa" w:w="140"/>
              <w:bottom w:type="dxa" w:w="90"/>
              <w:right w:type="dxa" w:w="140"/>
            </w:tcMar>
            <w:vAlign w:val="center"/>
          </w:tcPr>
          <w:p>
            <w:pPr>
              <w:spacing w:after="20" w:before="20"/>
              <w:jc w:val="left"/>
            </w:pPr>
            <w:r>
              <w:rPr>
                <w:b/>
                <w:bCs/>
                <w:color w:val="FFFFFF"/>
                <w:sz w:val="21"/>
                <w:szCs w:val="21"/>
              </w:rPr>
              <w:t xml:space="preserve">Rol en el proceso</w:t>
            </w:r>
          </w:p>
        </w:tc>
      </w:tr>
      <w:tr>
        <w:trPr>
          <w:cantSplit/>
        </w:trPr>
        <w:tc>
          <w:tcPr>
            <w:tcW w:type="dxa" w:w="2340"/>
            <w:shd w:fill="FFFFFF" w:color="auto" w:val="clear"/>
            <w:tcMar>
              <w:top w:type="dxa" w:w="90"/>
              <w:left w:type="dxa" w:w="140"/>
              <w:bottom w:type="dxa" w:w="90"/>
              <w:right w:type="dxa" w:w="140"/>
            </w:tcMar>
            <w:vAlign w:val="center"/>
          </w:tcPr>
          <w:p>
            <w:pPr>
              <w:spacing w:after="20" w:before="20" w:line="264"/>
              <w:jc w:val="left"/>
            </w:pPr>
            <w:r>
              <w:rPr>
                <w:b/>
                <w:bCs/>
                <w:color w:val="1F3864"/>
                <w:sz w:val="21"/>
                <w:szCs w:val="21"/>
              </w:rPr>
              <w:t xml:space="preserve">SAP BPC</w:t>
            </w:r>
          </w:p>
        </w:tc>
        <w:tc>
          <w:tcPr>
            <w:tcW w:type="dxa" w:w="7020"/>
            <w:shd w:fill="FFFFFF"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Fuente principal y primordial, donde se originan la mayoría de los datos para la generación de los Estados Financieros.</w:t>
            </w:r>
          </w:p>
        </w:tc>
      </w:tr>
      <w:tr>
        <w:trPr>
          <w:cantSplit/>
        </w:trPr>
        <w:tc>
          <w:tcPr>
            <w:tcW w:type="dxa" w:w="2340"/>
            <w:shd w:fill="F4F7FB" w:color="auto" w:val="clear"/>
            <w:tcMar>
              <w:top w:type="dxa" w:w="90"/>
              <w:left w:type="dxa" w:w="140"/>
              <w:bottom w:type="dxa" w:w="90"/>
              <w:right w:type="dxa" w:w="140"/>
            </w:tcMar>
            <w:vAlign w:val="center"/>
          </w:tcPr>
          <w:p>
            <w:pPr>
              <w:spacing w:after="20" w:before="20" w:line="264"/>
              <w:jc w:val="left"/>
            </w:pPr>
            <w:r>
              <w:rPr>
                <w:b/>
                <w:bCs/>
                <w:color w:val="1F3864"/>
                <w:sz w:val="21"/>
                <w:szCs w:val="21"/>
              </w:rPr>
              <w:t xml:space="preserve">Workiva (Chains)</w:t>
            </w:r>
          </w:p>
        </w:tc>
        <w:tc>
          <w:tcPr>
            <w:tcW w:type="dxa" w:w="7020"/>
            <w:shd w:fill="F4F7FB"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Herramienta que une SAP HANA y Workiva, permitiendo la automatización del traspaso de datos entre ambas plataformas.</w:t>
            </w:r>
          </w:p>
        </w:tc>
      </w:tr>
      <w:tr>
        <w:trPr>
          <w:cantSplit/>
        </w:trPr>
        <w:tc>
          <w:tcPr>
            <w:tcW w:type="dxa" w:w="2340"/>
            <w:shd w:fill="FFFFFF" w:color="auto" w:val="clear"/>
            <w:tcMar>
              <w:top w:type="dxa" w:w="90"/>
              <w:left w:type="dxa" w:w="140"/>
              <w:bottom w:type="dxa" w:w="90"/>
              <w:right w:type="dxa" w:w="140"/>
            </w:tcMar>
            <w:vAlign w:val="center"/>
          </w:tcPr>
          <w:p>
            <w:pPr>
              <w:spacing w:after="20" w:before="20" w:line="264"/>
              <w:jc w:val="left"/>
            </w:pPr>
            <w:r>
              <w:rPr>
                <w:b/>
                <w:bCs/>
                <w:color w:val="1F3864"/>
                <w:sz w:val="21"/>
                <w:szCs w:val="21"/>
              </w:rPr>
              <w:t xml:space="preserve">Workiva (Wdata)</w:t>
            </w:r>
          </w:p>
        </w:tc>
        <w:tc>
          <w:tcPr>
            <w:tcW w:type="dxa" w:w="7020"/>
            <w:shd w:fill="FFFFFF"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Plataforma utilizada para la creación de Query's (consultas), las cuales permiten la automatización del armado y la actualización de las notas de los Estados Financieros.</w:t>
            </w:r>
          </w:p>
        </w:tc>
      </w:tr>
      <w:tr>
        <w:trPr>
          <w:cantSplit/>
        </w:trPr>
        <w:tc>
          <w:tcPr>
            <w:tcW w:type="dxa" w:w="2340"/>
            <w:shd w:fill="F4F7FB" w:color="auto" w:val="clear"/>
            <w:tcMar>
              <w:top w:type="dxa" w:w="90"/>
              <w:left w:type="dxa" w:w="140"/>
              <w:bottom w:type="dxa" w:w="90"/>
              <w:right w:type="dxa" w:w="140"/>
            </w:tcMar>
            <w:vAlign w:val="center"/>
          </w:tcPr>
          <w:p>
            <w:pPr>
              <w:spacing w:after="20" w:before="20" w:line="264"/>
              <w:jc w:val="left"/>
            </w:pPr>
            <w:r>
              <w:rPr>
                <w:b/>
                <w:bCs/>
                <w:color w:val="1F3864"/>
                <w:sz w:val="21"/>
                <w:szCs w:val="21"/>
              </w:rPr>
              <w:t xml:space="preserve">Workiva (Wdesk)</w:t>
            </w:r>
          </w:p>
        </w:tc>
        <w:tc>
          <w:tcPr>
            <w:tcW w:type="dxa" w:w="7020"/>
            <w:shd w:fill="F4F7FB"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Plataforma final donde se visualizan los cambios y actualizaciones realizadas en los Estados Financieros. Además, en esta plataforma se efectúan los ajustes manuales que no pueden ser automatizados.</w:t>
            </w:r>
          </w:p>
        </w:tc>
      </w:tr>
    </w:tbl>
    <w:p>
      <w:pPr>
        <w:spacing w:after="200" w:before="0" w:line="120" w:lineRule="exact"/>
      </w:pPr>
      <w:r>
        <w:rPr>
          <w:sz w:val="10"/>
          <w:szCs w:val="10"/>
        </w:rPr>
        <w:t xml:space="preserve"/>
      </w:r>
    </w:p>
    <w:tbl>
      <w:tblPr>
        <w:tblW w:type="dxa" w:w="9360"/>
        <w:tblBorders>
          <w:top w:val="none" w:color="FFFFFF" w:sz="0"/>
          <w:left w:val="single" w:color="2E74B5" w:sz="18"/>
          <w:bottom w:val="none" w:color="FFFFFF" w:sz="0"/>
          <w:right w:val="none" w:color="FFFFFF" w:sz="0"/>
          <w:insideH w:val="none" w:color="FFFFFF" w:sz="0"/>
          <w:insideV w:val="none" w:color="FFFFFF" w:sz="0"/>
        </w:tblBorders>
      </w:tblPr>
      <w:tblGrid>
        <w:gridCol w:w="9360"/>
      </w:tblGrid>
      <w:tr>
        <w:tc>
          <w:tcPr>
            <w:tcW w:type="dxa" w:w="9360"/>
            <w:shd w:fill="EAF0F7" w:color="auto" w:val="clear"/>
            <w:tcMar>
              <w:top w:type="dxa" w:w="160"/>
              <w:left w:type="dxa" w:w="220"/>
              <w:bottom w:type="dxa" w:w="160"/>
              <w:right w:type="dxa" w:w="220"/>
            </w:tcMar>
          </w:tcPr>
          <w:p>
            <w:pPr>
              <w:spacing w:after="0" w:line="264"/>
              <w:jc w:val="both"/>
            </w:pPr>
            <w:r>
              <w:rPr>
                <w:b/>
                <w:bCs/>
                <w:color w:val="1F3864"/>
                <w:sz w:val="21"/>
                <w:szCs w:val="21"/>
              </w:rPr>
              <w:t xml:space="preserve">Nota: </w:t>
            </w:r>
            <w:r>
              <w:rPr>
                <w:color w:val="262626"/>
                <w:sz w:val="21"/>
                <w:szCs w:val="21"/>
              </w:rPr>
              <w:t xml:space="preserve">Wdata y Wdesk, si bien ambas pertenecen a Workiva, cumplen funciones distintas. Wdata almacena y estructura el dato; Wdesk construye y presenta el documento. La frontera entre ambas es la conexión, punto en el cual el proceso admite intervención manual.</w:t>
            </w:r>
          </w:p>
        </w:tc>
      </w:tr>
    </w:tbl>
    <w:p>
      <w:pPr>
        <w:pStyle w:val="Heading1"/>
      </w:pPr>
      <w:r>
        <w:t xml:space="preserve">2. Carga SAP BPC</w:t>
      </w:r>
    </w:p>
    <w:p>
      <w:pPr>
        <w:spacing w:after="140" w:line="276"/>
        <w:jc w:val="both"/>
      </w:pPr>
      <w:r>
        <w:t xml:space="preserve">Corresponde al proceso de carga de los asientos contables para el período financiero correspondiente. La información generada es la base principal e inicial del proceso de armado de los Estados Financieros.</w:t>
      </w:r>
    </w:p>
    <w:p>
      <w:pPr>
        <w:spacing w:after="140" w:line="276"/>
        <w:jc w:val="both"/>
      </w:pPr>
      <w:r>
        <w:t xml:space="preserve">Todo el proceso posterior hereda el contenido y la oportunidad de esta carga.</w:t>
      </w:r>
    </w:p>
    <w:p>
      <w:pPr>
        <w:pStyle w:val="Heading2"/>
      </w:pPr>
      <w:r>
        <w:t xml:space="preserve">2.1 Proceso de consolidación y ejecución de Workiva Chains</w:t>
      </w:r>
    </w:p>
    <w:p>
      <w:pPr>
        <w:spacing w:after="140" w:line="276"/>
        <w:jc w:val="both"/>
      </w:pPr>
      <w:r>
        <w:t xml:space="preserve">Posterior a la carga de información en SAP BPC, se ejecuta la cadena de Workiva (Chains), permitiendo la integración y transferencia de datos hacia Workiva para la continuidad del proceso de armado de los Estados Financieros.</w:t>
      </w:r>
    </w:p>
    <w:p>
      <w:pPr>
        <w:spacing w:after="140" w:line="276"/>
        <w:jc w:val="both"/>
      </w:pPr>
      <w:r>
        <w:t xml:space="preserve">La ejecución de las cadenas puede realizarse de forma automática o manual, según corresponda.</w:t>
      </w:r>
    </w:p>
    <w:p>
      <w:pPr>
        <w:pStyle w:val="Heading2"/>
      </w:pPr>
      <w:r>
        <w:t xml:space="preserve">2.2 Ejecución de cadenas en Workiva Chains</w:t>
      </w:r>
    </w:p>
    <w:p>
      <w:pPr>
        <w:spacing w:after="140" w:line="276"/>
        <w:jc w:val="both"/>
      </w:pPr>
      <w:r>
        <w:t xml:space="preserve">Durante el proceso de armado de los Estados Financieros, se deben ejecutar las siguientes cadenas en Workiva Chains para asegurar la correcta actualización e integración de la información:</w:t>
      </w:r>
    </w:p>
    <w:tbl>
      <w:tblPr>
        <w:tblW w:type="dxa" w:w="9360"/>
        <w:tblBorders>
          <w:top w:val="single" w:color="1F3864" w:sz="4"/>
          <w:left w:val="none" w:color="FFFFFF" w:sz="0"/>
          <w:bottom w:val="single" w:color="1F3864" w:sz="4"/>
          <w:right w:val="none" w:color="FFFFFF" w:sz="0"/>
          <w:insideH w:val="single" w:color="D6DCE4" w:sz="4"/>
          <w:insideV w:val="none" w:color="FFFFFF" w:sz="0"/>
        </w:tblBorders>
      </w:tblPr>
      <w:tblGrid>
        <w:gridCol w:w="900"/>
        <w:gridCol w:w="5460"/>
        <w:gridCol w:w="3000"/>
      </w:tblGrid>
      <w:tr>
        <w:trPr>
          <w:cantSplit/>
          <w:tblHeader/>
        </w:trPr>
        <w:tc>
          <w:tcPr>
            <w:tcW w:type="dxa" w:w="900"/>
            <w:shd w:fill="1F3864" w:color="auto" w:val="clear"/>
            <w:tcMar>
              <w:top w:type="dxa" w:w="90"/>
              <w:left w:type="dxa" w:w="140"/>
              <w:bottom w:type="dxa" w:w="90"/>
              <w:right w:type="dxa" w:w="140"/>
            </w:tcMar>
            <w:vAlign w:val="center"/>
          </w:tcPr>
          <w:p>
            <w:pPr>
              <w:spacing w:after="20" w:before="20"/>
              <w:jc w:val="center"/>
            </w:pPr>
            <w:r>
              <w:rPr>
                <w:b/>
                <w:bCs/>
                <w:color w:val="FFFFFF"/>
                <w:sz w:val="21"/>
                <w:szCs w:val="21"/>
              </w:rPr>
              <w:t xml:space="preserve">N°</w:t>
            </w:r>
          </w:p>
        </w:tc>
        <w:tc>
          <w:tcPr>
            <w:tcW w:type="dxa" w:w="5460"/>
            <w:shd w:fill="1F3864" w:color="auto" w:val="clear"/>
            <w:tcMar>
              <w:top w:type="dxa" w:w="90"/>
              <w:left w:type="dxa" w:w="140"/>
              <w:bottom w:type="dxa" w:w="90"/>
              <w:right w:type="dxa" w:w="140"/>
            </w:tcMar>
            <w:vAlign w:val="center"/>
          </w:tcPr>
          <w:p>
            <w:pPr>
              <w:spacing w:after="20" w:before="20"/>
              <w:jc w:val="left"/>
            </w:pPr>
            <w:r>
              <w:rPr>
                <w:b/>
                <w:bCs/>
                <w:color w:val="FFFFFF"/>
                <w:sz w:val="21"/>
                <w:szCs w:val="21"/>
              </w:rPr>
              <w:t xml:space="preserve">Cadena</w:t>
            </w:r>
          </w:p>
        </w:tc>
        <w:tc>
          <w:tcPr>
            <w:tcW w:type="dxa" w:w="3000"/>
            <w:shd w:fill="1F3864" w:color="auto" w:val="clear"/>
            <w:tcMar>
              <w:top w:type="dxa" w:w="90"/>
              <w:left w:type="dxa" w:w="140"/>
              <w:bottom w:type="dxa" w:w="90"/>
              <w:right w:type="dxa" w:w="140"/>
            </w:tcMar>
            <w:vAlign w:val="center"/>
          </w:tcPr>
          <w:p>
            <w:pPr>
              <w:spacing w:after="20" w:before="20"/>
              <w:jc w:val="center"/>
            </w:pPr>
            <w:r>
              <w:rPr>
                <w:b/>
                <w:bCs/>
                <w:color w:val="FFFFFF"/>
                <w:sz w:val="21"/>
                <w:szCs w:val="21"/>
              </w:rPr>
              <w:t xml:space="preserve">Estado</w:t>
            </w:r>
          </w:p>
        </w:tc>
      </w:tr>
      <w:tr>
        <w:trPr>
          <w:cantSplit/>
        </w:trPr>
        <w:tc>
          <w:tcPr>
            <w:tcW w:type="dxa" w:w="900"/>
            <w:shd w:fill="FFFFFF" w:color="auto" w:val="clear"/>
            <w:tcMar>
              <w:top w:type="dxa" w:w="90"/>
              <w:left w:type="dxa" w:w="140"/>
              <w:bottom w:type="dxa" w:w="90"/>
              <w:right w:type="dxa" w:w="140"/>
            </w:tcMar>
            <w:vAlign w:val="center"/>
          </w:tcPr>
          <w:p>
            <w:pPr>
              <w:spacing w:after="20" w:before="20" w:line="264"/>
              <w:jc w:val="center"/>
            </w:pPr>
            <w:r>
              <w:rPr>
                <w:b/>
                <w:bCs/>
                <w:color w:val="1F3864"/>
                <w:sz w:val="21"/>
                <w:szCs w:val="21"/>
              </w:rPr>
              <w:t xml:space="preserve">1</w:t>
            </w:r>
          </w:p>
        </w:tc>
        <w:tc>
          <w:tcPr>
            <w:tcW w:type="dxa" w:w="5460"/>
            <w:shd w:fill="FFFFFF"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Carga data cubo – Job</w:t>
            </w:r>
          </w:p>
        </w:tc>
        <w:tc>
          <w:tcPr>
            <w:tcW w:type="dxa" w:w="3000"/>
            <w:shd w:fill="FFFFFF" w:color="auto" w:val="clear"/>
            <w:tcMar>
              <w:top w:type="dxa" w:w="90"/>
              <w:left w:type="dxa" w:w="140"/>
              <w:bottom w:type="dxa" w:w="90"/>
              <w:right w:type="dxa" w:w="140"/>
            </w:tcMar>
            <w:vAlign w:val="center"/>
          </w:tcPr>
          <w:p>
            <w:pPr>
              <w:spacing w:after="20" w:before="20" w:line="264"/>
              <w:jc w:val="center"/>
            </w:pPr>
            <w:r>
              <w:rPr>
                <w:b w:val="false"/>
                <w:bCs w:val="false"/>
                <w:color w:val="262626"/>
                <w:sz w:val="21"/>
                <w:szCs w:val="21"/>
              </w:rPr>
              <w:t xml:space="preserve">Operativa</w:t>
            </w:r>
          </w:p>
        </w:tc>
      </w:tr>
      <w:tr>
        <w:trPr>
          <w:cantSplit/>
        </w:trPr>
        <w:tc>
          <w:tcPr>
            <w:tcW w:type="dxa" w:w="900"/>
            <w:shd w:fill="F4F7FB" w:color="auto" w:val="clear"/>
            <w:tcMar>
              <w:top w:type="dxa" w:w="90"/>
              <w:left w:type="dxa" w:w="140"/>
              <w:bottom w:type="dxa" w:w="90"/>
              <w:right w:type="dxa" w:w="140"/>
            </w:tcMar>
            <w:vAlign w:val="center"/>
          </w:tcPr>
          <w:p>
            <w:pPr>
              <w:spacing w:after="20" w:before="20" w:line="264"/>
              <w:jc w:val="center"/>
            </w:pPr>
            <w:r>
              <w:rPr>
                <w:b/>
                <w:bCs/>
                <w:color w:val="1F3864"/>
                <w:sz w:val="21"/>
                <w:szCs w:val="21"/>
              </w:rPr>
              <w:t xml:space="preserve">2</w:t>
            </w:r>
          </w:p>
        </w:tc>
        <w:tc>
          <w:tcPr>
            <w:tcW w:type="dxa" w:w="5460"/>
            <w:shd w:fill="F4F7FB"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Carga cuenta agrupador V2</w:t>
            </w:r>
          </w:p>
        </w:tc>
        <w:tc>
          <w:tcPr>
            <w:tcW w:type="dxa" w:w="3000"/>
            <w:shd w:fill="F4F7FB" w:color="auto" w:val="clear"/>
            <w:tcMar>
              <w:top w:type="dxa" w:w="90"/>
              <w:left w:type="dxa" w:w="140"/>
              <w:bottom w:type="dxa" w:w="90"/>
              <w:right w:type="dxa" w:w="140"/>
            </w:tcMar>
            <w:vAlign w:val="center"/>
          </w:tcPr>
          <w:p>
            <w:pPr>
              <w:spacing w:after="20" w:before="20" w:line="264"/>
              <w:jc w:val="center"/>
            </w:pPr>
            <w:r>
              <w:rPr>
                <w:b w:val="false"/>
                <w:bCs w:val="false"/>
                <w:color w:val="262626"/>
                <w:sz w:val="21"/>
                <w:szCs w:val="21"/>
              </w:rPr>
              <w:t xml:space="preserve">Operativa</w:t>
            </w:r>
          </w:p>
        </w:tc>
      </w:tr>
      <w:tr>
        <w:trPr>
          <w:cantSplit/>
        </w:trPr>
        <w:tc>
          <w:tcPr>
            <w:tcW w:type="dxa" w:w="900"/>
            <w:shd w:fill="FFFFFF" w:color="auto" w:val="clear"/>
            <w:tcMar>
              <w:top w:type="dxa" w:w="90"/>
              <w:left w:type="dxa" w:w="140"/>
              <w:bottom w:type="dxa" w:w="90"/>
              <w:right w:type="dxa" w:w="140"/>
            </w:tcMar>
            <w:vAlign w:val="center"/>
          </w:tcPr>
          <w:p>
            <w:pPr>
              <w:spacing w:after="20" w:before="20" w:line="264"/>
              <w:jc w:val="center"/>
            </w:pPr>
            <w:r>
              <w:rPr>
                <w:b/>
                <w:bCs/>
                <w:color w:val="1F3864"/>
                <w:sz w:val="21"/>
                <w:szCs w:val="21"/>
              </w:rPr>
              <w:t xml:space="preserve">3</w:t>
            </w:r>
          </w:p>
        </w:tc>
        <w:tc>
          <w:tcPr>
            <w:tcW w:type="dxa" w:w="5460"/>
            <w:shd w:fill="FFFFFF"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Refrescar conexiones consolidados</w:t>
            </w:r>
          </w:p>
        </w:tc>
        <w:tc>
          <w:tcPr>
            <w:tcW w:type="dxa" w:w="3000"/>
            <w:shd w:fill="FFFFFF" w:color="auto" w:val="clear"/>
            <w:tcMar>
              <w:top w:type="dxa" w:w="90"/>
              <w:left w:type="dxa" w:w="140"/>
              <w:bottom w:type="dxa" w:w="90"/>
              <w:right w:type="dxa" w:w="140"/>
            </w:tcMar>
            <w:vAlign w:val="center"/>
          </w:tcPr>
          <w:p>
            <w:pPr>
              <w:spacing w:after="20" w:before="20" w:line="264"/>
              <w:jc w:val="center"/>
            </w:pPr>
            <w:r>
              <w:rPr>
                <w:b w:val="false"/>
                <w:bCs w:val="false"/>
                <w:color w:val="262626"/>
                <w:sz w:val="21"/>
                <w:szCs w:val="21"/>
              </w:rPr>
              <w:t xml:space="preserve">Pendiente por aprobar</w:t>
            </w:r>
          </w:p>
        </w:tc>
      </w:tr>
    </w:tbl>
    <w:p>
      <w:pPr>
        <w:spacing w:after="200" w:before="0" w:line="120" w:lineRule="exact"/>
      </w:pPr>
      <w:r>
        <w:rPr>
          <w:sz w:val="10"/>
          <w:szCs w:val="10"/>
        </w:rPr>
        <w:t xml:space="preserve"/>
      </w:r>
    </w:p>
    <w:p>
      <w:pPr>
        <w:spacing w:after="140" w:line="276"/>
        <w:jc w:val="both"/>
      </w:pPr>
      <w:r>
        <w:t xml:space="preserve">Mientras la tercera cadena no se encuentre aprobada, el refresco de las conexiones de consolidados debe realizarse de forma manual.</w:t>
      </w:r>
    </w:p>
    <w:p>
      <w:pPr>
        <w:pStyle w:val="Heading2"/>
      </w:pPr>
      <w:r>
        <w:t xml:space="preserve">2.3 Query's y conexiones en Workiva (Wdata)</w:t>
      </w:r>
    </w:p>
    <w:p>
      <w:pPr>
        <w:spacing w:after="140" w:line="276"/>
        <w:jc w:val="both"/>
      </w:pPr>
      <w:r>
        <w:t xml:space="preserve">En Workiva (Wdata) se encuentran almacenadas las Query's, tablas y conexiones utilizadas durante el proceso de armado de los Estados Financieros. Estas Query's son utilizadas en las hojas de cálculo y reportes de Workiva (Wdesk), permitiendo la conexión y actualización automatizada de la información financiera.</w:t>
      </w:r>
    </w:p>
    <w:p>
      <w:pPr>
        <w:spacing w:after="140" w:line="276"/>
        <w:jc w:val="both"/>
      </w:pPr>
      <w:r>
        <w:t xml:space="preserve">La información se materializa en tres tablas paralelas dentro de Wdata, según el nivel de agregación requerido:</w:t>
      </w:r>
    </w:p>
    <w:p>
      <w:pPr>
        <w:pStyle w:val="ListParagraph"/>
        <w:numPr>
          <w:ilvl w:val="0"/>
          <w:numId w:val="2"/>
        </w:numPr>
        <w:spacing w:after="60" w:line="276"/>
      </w:pPr>
      <w:r>
        <w:t xml:space="preserve">Individual</w:t>
      </w:r>
    </w:p>
    <w:p>
      <w:pPr>
        <w:pStyle w:val="ListParagraph"/>
        <w:numPr>
          <w:ilvl w:val="0"/>
          <w:numId w:val="2"/>
        </w:numPr>
        <w:spacing w:after="60" w:line="276"/>
      </w:pPr>
      <w:r>
        <w:t xml:space="preserve">Consolidado</w:t>
      </w:r>
    </w:p>
    <w:p>
      <w:pPr>
        <w:pStyle w:val="ListParagraph"/>
        <w:numPr>
          <w:ilvl w:val="0"/>
          <w:numId w:val="2"/>
        </w:numPr>
        <w:spacing w:after="60" w:line="276"/>
      </w:pPr>
      <w:r>
        <w:t xml:space="preserve">Combinado</w:t>
      </w:r>
    </w:p>
    <w:p>
      <w:pPr>
        <w:spacing w:after="140" w:before="120" w:line="276"/>
        <w:jc w:val="both"/>
      </w:pPr>
      <w:r>
        <w:t xml:space="preserve">Esta estructura de tres niveles se mantiene de forma consistente en las etapas posteriores del proceso.</w:t>
      </w:r>
    </w:p>
    <w:p>
      <w:pPr>
        <w:pStyle w:val="Heading1"/>
      </w:pPr>
      <w:r>
        <w:t xml:space="preserve">3. Generación y actualización de Estados Financieros en Wdesk</w:t>
      </w:r>
    </w:p>
    <w:p>
      <w:pPr>
        <w:spacing w:after="140" w:line="276"/>
        <w:jc w:val="both"/>
      </w:pPr>
      <w:r>
        <w:t xml:space="preserve">Posterior a la integración de información en Workiva, se realiza la generación y actualización de los archivos correspondientes para los meses y trimestres asociados a los Estados Financieros en Workiva (Wdesk). Para este proceso se utilizan conexiones, queries y hojas de cálculo previamente configuradas, las cuales permiten automatizar el armado y actualización de la información financiera presentada en los distintos reportes.</w:t>
      </w:r>
    </w:p>
    <w:p>
      <w:pPr>
        <w:spacing w:after="140" w:line="276"/>
        <w:jc w:val="both"/>
      </w:pPr>
      <w:r>
        <w:t xml:space="preserve">Los archivos generados en esta etapa —Individual, Consolidado y Combinado— constituyen el núcleo del proceso: desde ellos se derivan posteriormente los informes, presentaciones y reportes finales.</w:t>
      </w:r>
    </w:p>
    <w:p>
      <w:pPr>
        <w:pStyle w:val="Heading2"/>
      </w:pPr>
      <w:r>
        <w:t xml:space="preserve">3.1 Actualización de hojas de cálculo</w:t>
      </w:r>
    </w:p>
    <w:p>
      <w:pPr>
        <w:spacing w:after="140" w:line="276"/>
        <w:jc w:val="both"/>
      </w:pPr>
      <w:r>
        <w:t xml:space="preserve">Luego de la generación de los archivos correspondientes en Workiva (Wdesk), se ejecuta la actualización de las conexiones configuradas en las hojas de cálculo de Estados Financieros individuales, consolidados y combinados. Estas conexiones permiten consumir información desde Workiva (Wdata), asegurando la actualización automática de datos financieros dentro de reportes, tablas y notas asociadas.</w:t>
      </w:r>
    </w:p>
    <w:p>
      <w:pPr>
        <w:pStyle w:val="Heading2"/>
      </w:pPr>
      <w:r>
        <w:t xml:space="preserve">3.2 Actualización "Hoja Bases"</w:t>
      </w:r>
    </w:p>
    <w:p>
      <w:pPr>
        <w:spacing w:after="140" w:line="276"/>
        <w:jc w:val="both"/>
      </w:pPr>
      <w:r>
        <w:t xml:space="preserve">Luego de actualizar las conexiones de las hojas de cálculo, se realiza la actualización de la hoja "Bases". En esta hoja se encuentran los parámetros utilizados para la correcta confección de los Estados Financieros, tales como:</w:t>
      </w:r>
    </w:p>
    <w:p>
      <w:pPr>
        <w:pStyle w:val="ListParagraph"/>
        <w:numPr>
          <w:ilvl w:val="0"/>
          <w:numId w:val="2"/>
        </w:numPr>
        <w:spacing w:after="60" w:line="276"/>
      </w:pPr>
      <w:r>
        <w:t xml:space="preserve">Fechas del período y su comparativo</w:t>
      </w:r>
    </w:p>
    <w:p>
      <w:pPr>
        <w:pStyle w:val="ListParagraph"/>
        <w:numPr>
          <w:ilvl w:val="0"/>
          <w:numId w:val="2"/>
        </w:numPr>
        <w:spacing w:after="60" w:line="276"/>
      </w:pPr>
      <w:r>
        <w:t xml:space="preserve">Traducciones</w:t>
      </w:r>
    </w:p>
    <w:p>
      <w:pPr>
        <w:pStyle w:val="ListParagraph"/>
        <w:numPr>
          <w:ilvl w:val="0"/>
          <w:numId w:val="2"/>
        </w:numPr>
        <w:spacing w:after="60" w:line="276"/>
      </w:pPr>
      <w:r>
        <w:t xml:space="preserve">Conversión de monedas</w:t>
      </w:r>
    </w:p>
    <w:p>
      <w:pPr>
        <w:pStyle w:val="ListParagraph"/>
        <w:numPr>
          <w:ilvl w:val="0"/>
          <w:numId w:val="2"/>
        </w:numPr>
        <w:spacing w:after="60" w:line="276"/>
      </w:pPr>
      <w:r>
        <w:t xml:space="preserve">Otros datos de referencia necesarios para el proceso</w:t>
      </w:r>
    </w:p>
    <w:p>
      <w:pPr>
        <w:spacing w:after="140" w:before="120" w:line="276"/>
        <w:jc w:val="both"/>
      </w:pPr>
      <w:r>
        <w:t xml:space="preserve">La hoja Bases constituye el único punto de configuración del período dentro del proceso, por lo que su correcta actualización condiciona el resultado de todas las hojas dependientes.</w:t>
      </w:r>
    </w:p>
    <w:p>
      <w:pPr>
        <w:pStyle w:val="Heading2"/>
      </w:pPr>
      <w:r>
        <w:t xml:space="preserve">3.3 Insumos externos vinculados</w:t>
      </w:r>
    </w:p>
    <w:p>
      <w:pPr>
        <w:spacing w:after="140" w:line="276"/>
        <w:jc w:val="both"/>
      </w:pPr>
      <w:r>
        <w:t xml:space="preserve">Adicionalmente a la información proveniente de Wdata, los archivos de Estados Financieros incorporan mediante vinculación (</w:t>
      </w:r>
      <w:r>
        <w:rPr>
          <w:i/>
          <w:iCs/>
        </w:rPr>
        <w:t xml:space="preserve">linking</w:t>
      </w:r>
      <w:r>
        <w:t xml:space="preserve">) dos insumos que se elaboran fuera del proceso automatizado:</w:t>
      </w:r>
    </w:p>
    <w:tbl>
      <w:tblPr>
        <w:tblW w:type="dxa" w:w="9360"/>
        <w:tblBorders>
          <w:top w:val="single" w:color="1F3864" w:sz="4"/>
          <w:left w:val="none" w:color="FFFFFF" w:sz="0"/>
          <w:bottom w:val="single" w:color="1F3864" w:sz="4"/>
          <w:right w:val="none" w:color="FFFFFF" w:sz="0"/>
          <w:insideH w:val="single" w:color="D6DCE4" w:sz="4"/>
          <w:insideV w:val="none" w:color="FFFFFF" w:sz="0"/>
        </w:tblBorders>
      </w:tblPr>
      <w:tblGrid>
        <w:gridCol w:w="2820"/>
        <w:gridCol w:w="6540"/>
      </w:tblGrid>
      <w:tr>
        <w:trPr>
          <w:cantSplit/>
          <w:tblHeader/>
        </w:trPr>
        <w:tc>
          <w:tcPr>
            <w:tcW w:type="dxa" w:w="2820"/>
            <w:shd w:fill="1F3864" w:color="auto" w:val="clear"/>
            <w:tcMar>
              <w:top w:type="dxa" w:w="90"/>
              <w:left w:type="dxa" w:w="140"/>
              <w:bottom w:type="dxa" w:w="90"/>
              <w:right w:type="dxa" w:w="140"/>
            </w:tcMar>
            <w:vAlign w:val="center"/>
          </w:tcPr>
          <w:p>
            <w:pPr>
              <w:spacing w:after="20" w:before="20"/>
              <w:jc w:val="left"/>
            </w:pPr>
            <w:r>
              <w:rPr>
                <w:b/>
                <w:bCs/>
                <w:color w:val="FFFFFF"/>
                <w:sz w:val="21"/>
                <w:szCs w:val="21"/>
              </w:rPr>
              <w:t xml:space="preserve">Insumo</w:t>
            </w:r>
          </w:p>
        </w:tc>
        <w:tc>
          <w:tcPr>
            <w:tcW w:type="dxa" w:w="6540"/>
            <w:shd w:fill="1F3864" w:color="auto" w:val="clear"/>
            <w:tcMar>
              <w:top w:type="dxa" w:w="90"/>
              <w:left w:type="dxa" w:w="140"/>
              <w:bottom w:type="dxa" w:w="90"/>
              <w:right w:type="dxa" w:w="140"/>
            </w:tcMar>
            <w:vAlign w:val="center"/>
          </w:tcPr>
          <w:p>
            <w:pPr>
              <w:spacing w:after="20" w:before="20"/>
              <w:jc w:val="left"/>
            </w:pPr>
            <w:r>
              <w:rPr>
                <w:b/>
                <w:bCs/>
                <w:color w:val="FFFFFF"/>
                <w:sz w:val="21"/>
                <w:szCs w:val="21"/>
              </w:rPr>
              <w:t xml:space="preserve">Origen</w:t>
            </w:r>
          </w:p>
        </w:tc>
      </w:tr>
      <w:tr>
        <w:trPr>
          <w:cantSplit/>
        </w:trPr>
        <w:tc>
          <w:tcPr>
            <w:tcW w:type="dxa" w:w="2820"/>
            <w:shd w:fill="FFFFFF" w:color="auto" w:val="clear"/>
            <w:tcMar>
              <w:top w:type="dxa" w:w="90"/>
              <w:left w:type="dxa" w:w="140"/>
              <w:bottom w:type="dxa" w:w="90"/>
              <w:right w:type="dxa" w:w="140"/>
            </w:tcMar>
            <w:vAlign w:val="center"/>
          </w:tcPr>
          <w:p>
            <w:pPr>
              <w:spacing w:after="20" w:before="20" w:line="264"/>
              <w:jc w:val="left"/>
            </w:pPr>
            <w:r>
              <w:rPr>
                <w:b/>
                <w:bCs/>
                <w:color w:val="1F3864"/>
                <w:sz w:val="21"/>
                <w:szCs w:val="21"/>
              </w:rPr>
              <w:t xml:space="preserve">Notas Personas</w:t>
            </w:r>
          </w:p>
        </w:tc>
        <w:tc>
          <w:tcPr>
            <w:tcW w:type="dxa" w:w="6540"/>
            <w:shd w:fill="FFFFFF"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Elaboración manual por el área correspondiente</w:t>
            </w:r>
          </w:p>
        </w:tc>
      </w:tr>
      <w:tr>
        <w:trPr>
          <w:cantSplit/>
        </w:trPr>
        <w:tc>
          <w:tcPr>
            <w:tcW w:type="dxa" w:w="2820"/>
            <w:shd w:fill="F4F7FB" w:color="auto" w:val="clear"/>
            <w:tcMar>
              <w:top w:type="dxa" w:w="90"/>
              <w:left w:type="dxa" w:w="140"/>
              <w:bottom w:type="dxa" w:w="90"/>
              <w:right w:type="dxa" w:w="140"/>
            </w:tcMar>
            <w:vAlign w:val="center"/>
          </w:tcPr>
          <w:p>
            <w:pPr>
              <w:spacing w:after="20" w:before="20" w:line="264"/>
              <w:jc w:val="left"/>
            </w:pPr>
            <w:r>
              <w:rPr>
                <w:b/>
                <w:bCs/>
                <w:color w:val="1F3864"/>
                <w:sz w:val="21"/>
                <w:szCs w:val="21"/>
              </w:rPr>
              <w:t xml:space="preserve">Activo Fijo</w:t>
            </w:r>
          </w:p>
        </w:tc>
        <w:tc>
          <w:tcPr>
            <w:tcW w:type="dxa" w:w="6540"/>
            <w:shd w:fill="F4F7FB"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Proceso propio, con cierre local y cierre chino</w:t>
            </w:r>
          </w:p>
        </w:tc>
      </w:tr>
    </w:tbl>
    <w:p>
      <w:pPr>
        <w:spacing w:after="200" w:before="0" w:line="120" w:lineRule="exact"/>
      </w:pPr>
      <w:r>
        <w:rPr>
          <w:sz w:val="10"/>
          <w:szCs w:val="10"/>
        </w:rPr>
        <w:t xml:space="preserve"/>
      </w:r>
    </w:p>
    <w:p>
      <w:pPr>
        <w:spacing w:after="140" w:line="276"/>
        <w:jc w:val="both"/>
      </w:pPr>
      <w:r>
        <w:t xml:space="preserve">Al tratarse de dependencias externas, la oportunidad y calidad de estos archivos condiciona el cierre, con independencia del correcto funcionamiento de las cadenas y conexiones.</w:t>
      </w:r>
    </w:p>
    <w:p>
      <w:pPr>
        <w:pStyle w:val="Heading2"/>
      </w:pPr>
      <w:r>
        <w:t xml:space="preserve">3.4 Validación y ajustes manuales</w:t>
      </w:r>
    </w:p>
    <w:p>
      <w:pPr>
        <w:spacing w:after="140" w:line="276"/>
        <w:jc w:val="both"/>
      </w:pPr>
      <w:r>
        <w:t xml:space="preserve">Posterior a la actualización de las conexiones de Wdata, se realiza la validación de la información financiera reflejada en los Estados Financieros. A su vez, se ingresan manualmente aquellas notas y ajustes que no forman parte del proceso automatizado mediante conexiones y queries.</w:t>
      </w:r>
    </w:p>
    <w:p>
      <w:pPr>
        <w:spacing w:after="140" w:line="276"/>
        <w:jc w:val="both"/>
      </w:pPr>
      <w:r>
        <w:t xml:space="preserve">Esta etapa constituye el único punto del proceso en que la información puede modificarse sin trazabilidad directa hacia SAP BPC, por lo que requiere registro y control específico.</w:t>
      </w:r>
    </w:p>
    <w:p>
      <w:pPr>
        <w:pStyle w:val="Heading1"/>
      </w:pPr>
      <w:r>
        <w:t xml:space="preserve">4. Distribución hacia entregables</w:t>
      </w:r>
    </w:p>
    <w:p>
      <w:pPr>
        <w:spacing w:after="140" w:line="276"/>
        <w:jc w:val="both"/>
      </w:pPr>
      <w:r>
        <w:t xml:space="preserve">Una vez validados los Estados Financieros, la información se propaga mediante vinculación (</w:t>
      </w:r>
      <w:r>
        <w:rPr>
          <w:i/>
          <w:iCs/>
        </w:rPr>
        <w:t xml:space="preserve">linking</w:t>
      </w:r>
      <w:r>
        <w:t xml:space="preserve">) hacia los distintos entregables:</w:t>
      </w:r>
    </w:p>
    <w:tbl>
      <w:tblPr>
        <w:tblW w:type="dxa" w:w="9360"/>
        <w:tblBorders>
          <w:top w:val="single" w:color="1F3864" w:sz="4"/>
          <w:left w:val="none" w:color="FFFFFF" w:sz="0"/>
          <w:bottom w:val="single" w:color="1F3864" w:sz="4"/>
          <w:right w:val="none" w:color="FFFFFF" w:sz="0"/>
          <w:insideH w:val="single" w:color="D6DCE4" w:sz="4"/>
          <w:insideV w:val="none" w:color="FFFFFF" w:sz="0"/>
        </w:tblBorders>
      </w:tblPr>
      <w:tblGrid>
        <w:gridCol w:w="3060"/>
        <w:gridCol w:w="6300"/>
      </w:tblGrid>
      <w:tr>
        <w:trPr>
          <w:cantSplit/>
          <w:tblHeader/>
        </w:trPr>
        <w:tc>
          <w:tcPr>
            <w:tcW w:type="dxa" w:w="3060"/>
            <w:shd w:fill="1F3864" w:color="auto" w:val="clear"/>
            <w:tcMar>
              <w:top w:type="dxa" w:w="90"/>
              <w:left w:type="dxa" w:w="140"/>
              <w:bottom w:type="dxa" w:w="90"/>
              <w:right w:type="dxa" w:w="140"/>
            </w:tcMar>
            <w:vAlign w:val="center"/>
          </w:tcPr>
          <w:p>
            <w:pPr>
              <w:spacing w:after="20" w:before="20"/>
              <w:jc w:val="left"/>
            </w:pPr>
            <w:r>
              <w:rPr>
                <w:b/>
                <w:bCs/>
                <w:color w:val="FFFFFF"/>
                <w:sz w:val="21"/>
                <w:szCs w:val="21"/>
              </w:rPr>
              <w:t xml:space="preserve">Destino</w:t>
            </w:r>
          </w:p>
        </w:tc>
        <w:tc>
          <w:tcPr>
            <w:tcW w:type="dxa" w:w="6300"/>
            <w:shd w:fill="1F3864" w:color="auto" w:val="clear"/>
            <w:tcMar>
              <w:top w:type="dxa" w:w="90"/>
              <w:left w:type="dxa" w:w="140"/>
              <w:bottom w:type="dxa" w:w="90"/>
              <w:right w:type="dxa" w:w="140"/>
            </w:tcMar>
            <w:vAlign w:val="center"/>
          </w:tcPr>
          <w:p>
            <w:pPr>
              <w:spacing w:after="20" w:before="20"/>
              <w:jc w:val="left"/>
            </w:pPr>
            <w:r>
              <w:rPr>
                <w:b/>
                <w:bCs/>
                <w:color w:val="FFFFFF"/>
                <w:sz w:val="21"/>
                <w:szCs w:val="21"/>
              </w:rPr>
              <w:t xml:space="preserve">Observación</w:t>
            </w:r>
          </w:p>
        </w:tc>
      </w:tr>
      <w:tr>
        <w:trPr>
          <w:cantSplit/>
        </w:trPr>
        <w:tc>
          <w:tcPr>
            <w:tcW w:type="dxa" w:w="3060"/>
            <w:shd w:fill="FFFFFF" w:color="auto" w:val="clear"/>
            <w:tcMar>
              <w:top w:type="dxa" w:w="90"/>
              <w:left w:type="dxa" w:w="140"/>
              <w:bottom w:type="dxa" w:w="90"/>
              <w:right w:type="dxa" w:w="140"/>
            </w:tcMar>
            <w:vAlign w:val="center"/>
          </w:tcPr>
          <w:p>
            <w:pPr>
              <w:spacing w:after="20" w:before="20" w:line="264"/>
              <w:jc w:val="left"/>
            </w:pPr>
            <w:r>
              <w:rPr>
                <w:b/>
                <w:bCs/>
                <w:color w:val="1F3864"/>
                <w:sz w:val="21"/>
                <w:szCs w:val="21"/>
              </w:rPr>
              <w:t xml:space="preserve">Informes Word (Español)</w:t>
            </w:r>
          </w:p>
        </w:tc>
        <w:tc>
          <w:tcPr>
            <w:tcW w:type="dxa" w:w="6300"/>
            <w:shd w:fill="FFFFFF"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Documento narrativo por sociedad</w:t>
            </w:r>
          </w:p>
        </w:tc>
      </w:tr>
      <w:tr>
        <w:trPr>
          <w:cantSplit/>
        </w:trPr>
        <w:tc>
          <w:tcPr>
            <w:tcW w:type="dxa" w:w="3060"/>
            <w:shd w:fill="F4F7FB" w:color="auto" w:val="clear"/>
            <w:tcMar>
              <w:top w:type="dxa" w:w="90"/>
              <w:left w:type="dxa" w:w="140"/>
              <w:bottom w:type="dxa" w:w="90"/>
              <w:right w:type="dxa" w:w="140"/>
            </w:tcMar>
            <w:vAlign w:val="center"/>
          </w:tcPr>
          <w:p>
            <w:pPr>
              <w:spacing w:after="20" w:before="20" w:line="264"/>
              <w:jc w:val="left"/>
            </w:pPr>
            <w:r>
              <w:rPr>
                <w:b/>
                <w:bCs/>
                <w:color w:val="1F3864"/>
                <w:sz w:val="21"/>
                <w:szCs w:val="21"/>
              </w:rPr>
              <w:t xml:space="preserve">Informes Word (Inglés)</w:t>
            </w:r>
          </w:p>
        </w:tc>
        <w:tc>
          <w:tcPr>
            <w:tcW w:type="dxa" w:w="6300"/>
            <w:shd w:fill="F4F7FB"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Se generan por traducción desde la versión en español, no directamente desde los datos</w:t>
            </w:r>
          </w:p>
        </w:tc>
      </w:tr>
      <w:tr>
        <w:trPr>
          <w:cantSplit/>
        </w:trPr>
        <w:tc>
          <w:tcPr>
            <w:tcW w:type="dxa" w:w="3060"/>
            <w:shd w:fill="FFFFFF" w:color="auto" w:val="clear"/>
            <w:tcMar>
              <w:top w:type="dxa" w:w="90"/>
              <w:left w:type="dxa" w:w="140"/>
              <w:bottom w:type="dxa" w:w="90"/>
              <w:right w:type="dxa" w:w="140"/>
            </w:tcMar>
            <w:vAlign w:val="center"/>
          </w:tcPr>
          <w:p>
            <w:pPr>
              <w:spacing w:after="20" w:before="20" w:line="264"/>
              <w:jc w:val="left"/>
            </w:pPr>
            <w:r>
              <w:rPr>
                <w:b/>
                <w:bCs/>
                <w:color w:val="1F3864"/>
                <w:sz w:val="21"/>
                <w:szCs w:val="21"/>
              </w:rPr>
              <w:t xml:space="preserve">Presentaciones (PPT)</w:t>
            </w:r>
          </w:p>
        </w:tc>
        <w:tc>
          <w:tcPr>
            <w:tcW w:type="dxa" w:w="6300"/>
            <w:shd w:fill="FFFFFF"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Comité ejecutivo e informes detallados, en distintas unidades monetarias e idiomas</w:t>
            </w:r>
          </w:p>
        </w:tc>
      </w:tr>
      <w:tr>
        <w:trPr>
          <w:cantSplit/>
        </w:trPr>
        <w:tc>
          <w:tcPr>
            <w:tcW w:type="dxa" w:w="3060"/>
            <w:shd w:fill="F4F7FB" w:color="auto" w:val="clear"/>
            <w:tcMar>
              <w:top w:type="dxa" w:w="90"/>
              <w:left w:type="dxa" w:w="140"/>
              <w:bottom w:type="dxa" w:w="90"/>
              <w:right w:type="dxa" w:w="140"/>
            </w:tcMar>
            <w:vAlign w:val="center"/>
          </w:tcPr>
          <w:p>
            <w:pPr>
              <w:spacing w:after="20" w:before="20" w:line="264"/>
              <w:jc w:val="left"/>
            </w:pPr>
            <w:r>
              <w:rPr>
                <w:b/>
                <w:bCs/>
                <w:color w:val="1F3864"/>
                <w:sz w:val="21"/>
                <w:szCs w:val="21"/>
              </w:rPr>
              <w:t xml:space="preserve">Monitor</w:t>
            </w:r>
          </w:p>
        </w:tc>
        <w:tc>
          <w:tcPr>
            <w:tcW w:type="dxa" w:w="6300"/>
            <w:shd w:fill="F4F7FB"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Archivo de seguimiento del estado del cierre</w:t>
            </w:r>
          </w:p>
        </w:tc>
      </w:tr>
      <w:tr>
        <w:trPr>
          <w:cantSplit/>
        </w:trPr>
        <w:tc>
          <w:tcPr>
            <w:tcW w:type="dxa" w:w="3060"/>
            <w:shd w:fill="FFFFFF" w:color="auto" w:val="clear"/>
            <w:tcMar>
              <w:top w:type="dxa" w:w="90"/>
              <w:left w:type="dxa" w:w="140"/>
              <w:bottom w:type="dxa" w:w="90"/>
              <w:right w:type="dxa" w:w="140"/>
            </w:tcMar>
            <w:vAlign w:val="center"/>
          </w:tcPr>
          <w:p>
            <w:pPr>
              <w:spacing w:after="20" w:before="20" w:line="264"/>
              <w:jc w:val="left"/>
            </w:pPr>
            <w:r>
              <w:rPr>
                <w:b/>
                <w:bCs/>
                <w:color w:val="1F3864"/>
                <w:sz w:val="21"/>
                <w:szCs w:val="21"/>
              </w:rPr>
              <w:t xml:space="preserve">Reportes</w:t>
            </w:r>
          </w:p>
        </w:tc>
        <w:tc>
          <w:tcPr>
            <w:tcW w:type="dxa" w:w="6300"/>
            <w:shd w:fill="FFFFFF" w:color="auto" w:val="clear"/>
            <w:tcMar>
              <w:top w:type="dxa" w:w="90"/>
              <w:left w:type="dxa" w:w="140"/>
              <w:bottom w:type="dxa" w:w="90"/>
              <w:right w:type="dxa" w:w="140"/>
            </w:tcMar>
            <w:vAlign w:val="center"/>
          </w:tcPr>
          <w:p>
            <w:pPr>
              <w:spacing w:after="20" w:before="20" w:line="264"/>
              <w:jc w:val="left"/>
            </w:pPr>
            <w:r>
              <w:rPr>
                <w:b w:val="false"/>
                <w:bCs w:val="false"/>
                <w:color w:val="262626"/>
                <w:sz w:val="21"/>
                <w:szCs w:val="21"/>
              </w:rPr>
              <w:t xml:space="preserve">Se emiten en dos versiones: local y chino</w:t>
            </w:r>
          </w:p>
        </w:tc>
      </w:tr>
    </w:tbl>
    <w:p>
      <w:pPr>
        <w:spacing w:after="200" w:before="0" w:line="120" w:lineRule="exact"/>
      </w:pPr>
      <w:r>
        <w:rPr>
          <w:sz w:val="10"/>
          <w:szCs w:val="10"/>
        </w:rPr>
        <w:t xml:space="preserve"/>
      </w:r>
    </w:p>
    <w:p>
      <w:pPr>
        <w:spacing w:after="140" w:line="276"/>
        <w:jc w:val="both"/>
      </w:pPr>
      <w:r>
        <w:t xml:space="preserve">Dado que la versión en inglés deriva de la versión en español, cualquier modificación posterior en esta última requiere rehacer la traducción correspondiente.</w:t>
      </w:r>
    </w:p>
    <w:p>
      <w:pPr>
        <w:pStyle w:val="Heading1"/>
      </w:pPr>
      <w:r>
        <w:t xml:space="preserve">5. Resumen del flujo</w:t>
      </w:r>
    </w:p>
    <w:tbl>
      <w:tblPr>
        <w:tblW w:type="dxa" w:w="9360"/>
        <w:tblBorders>
          <w:top w:val="single" w:color="D6DCE4" w:sz="4"/>
          <w:left w:val="single" w:color="D6DCE4" w:sz="4"/>
          <w:bottom w:val="single" w:color="D6DCE4" w:sz="4"/>
          <w:right w:val="single" w:color="D6DCE4" w:sz="4"/>
          <w:insideH w:val="none" w:color="FFFFFF" w:sz="0"/>
          <w:insideV w:val="none" w:color="FFFFFF" w:sz="0"/>
        </w:tblBorders>
      </w:tblPr>
      <w:tblGrid>
        <w:gridCol w:w="9360"/>
      </w:tblGrid>
      <w:tr>
        <w:trPr>
          <w:cantSplit/>
        </w:trPr>
        <w:tc>
          <w:tcPr>
            <w:tcW w:type="dxa" w:w="9360"/>
            <w:shd w:fill="F7F9FB" w:color="auto" w:val="clear"/>
            <w:tcMar>
              <w:top w:type="dxa" w:w="150"/>
              <w:left w:type="dxa" w:w="280"/>
              <w:bottom w:type="dxa" w:w="150"/>
              <w:right w:type="dxa" w:w="220"/>
            </w:tcMar>
          </w:tcPr>
          <w:p>
            <w:pPr>
              <w:spacing w:after="0" w:before="0" w:line="202" w:lineRule="exact"/>
            </w:pPr>
            <w:r>
              <w:rPr>
                <w:rFonts w:ascii="Consolas" w:cs="Consolas" w:eastAsia="Consolas" w:hAnsi="Consolas"/>
                <w:b/>
                <w:bCs/>
                <w:color w:val="1F3864"/>
                <w:sz w:val="17"/>
                <w:szCs w:val="17"/>
              </w:rPr>
              <w:t xml:space="preserve">SAP BPC</w:t>
            </w:r>
          </w:p>
          <w:p>
            <w:pPr>
              <w:spacing w:after="0" w:before="0" w:line="202" w:lineRule="exact"/>
            </w:pPr>
            <w:r>
              <w:rPr>
                <w:rFonts w:ascii="Consolas" w:cs="Consolas" w:eastAsia="Consolas" w:hAnsi="Consolas"/>
                <w:b w:val="false"/>
                <w:bCs w:val="false"/>
                <w:color w:val="595959"/>
                <w:sz w:val="17"/>
                <w:szCs w:val="17"/>
              </w:rPr>
              <w:t xml:space="preserve">   │  Carga de asientos contables del período</w:t>
            </w:r>
          </w:p>
          <w:p>
            <w:pPr>
              <w:spacing w:after="0" w:before="0" w:line="202" w:lineRule="exact"/>
            </w:pPr>
            <w:r>
              <w:rPr>
                <w:rFonts w:ascii="Consolas" w:cs="Consolas" w:eastAsia="Consolas" w:hAnsi="Consolas"/>
                <w:b w:val="false"/>
                <w:bCs w:val="false"/>
                <w:color w:val="595959"/>
                <w:sz w:val="17"/>
                <w:szCs w:val="17"/>
              </w:rPr>
              <w:t xml:space="preserve">   ▼</w:t>
            </w:r>
          </w:p>
          <w:p>
            <w:pPr>
              <w:spacing w:after="0" w:before="0" w:line="202" w:lineRule="exact"/>
            </w:pPr>
            <w:r>
              <w:rPr>
                <w:rFonts w:ascii="Consolas" w:cs="Consolas" w:eastAsia="Consolas" w:hAnsi="Consolas"/>
                <w:b/>
                <w:bCs/>
                <w:color w:val="1F3864"/>
                <w:sz w:val="17"/>
                <w:szCs w:val="17"/>
              </w:rPr>
              <w:t xml:space="preserve">Workiva Chains</w:t>
            </w:r>
          </w:p>
          <w:p>
            <w:pPr>
              <w:spacing w:after="0" w:before="0" w:line="202" w:lineRule="exact"/>
            </w:pPr>
            <w:r>
              <w:rPr>
                <w:rFonts w:ascii="Consolas" w:cs="Consolas" w:eastAsia="Consolas" w:hAnsi="Consolas"/>
                <w:b w:val="false"/>
                <w:bCs w:val="false"/>
                <w:color w:val="595959"/>
                <w:sz w:val="17"/>
                <w:szCs w:val="17"/>
              </w:rPr>
              <w:t xml:space="preserve">   │  Ejecución automática o manual de cadenas</w:t>
            </w:r>
          </w:p>
          <w:p>
            <w:pPr>
              <w:spacing w:after="0" w:before="0" w:line="202" w:lineRule="exact"/>
            </w:pPr>
            <w:r>
              <w:rPr>
                <w:rFonts w:ascii="Consolas" w:cs="Consolas" w:eastAsia="Consolas" w:hAnsi="Consolas"/>
                <w:b w:val="false"/>
                <w:bCs w:val="false"/>
                <w:color w:val="595959"/>
                <w:sz w:val="17"/>
                <w:szCs w:val="17"/>
              </w:rPr>
              <w:t xml:space="preserve">   ▼</w:t>
            </w:r>
          </w:p>
          <w:p>
            <w:pPr>
              <w:spacing w:after="0" w:before="0" w:line="202" w:lineRule="exact"/>
            </w:pPr>
            <w:r>
              <w:rPr>
                <w:rFonts w:ascii="Consolas" w:cs="Consolas" w:eastAsia="Consolas" w:hAnsi="Consolas"/>
                <w:b/>
                <w:bCs/>
                <w:color w:val="1F3864"/>
                <w:sz w:val="17"/>
                <w:szCs w:val="17"/>
              </w:rPr>
              <w:t xml:space="preserve">Workiva Wdata</w:t>
            </w:r>
          </w:p>
          <w:p>
            <w:pPr>
              <w:spacing w:after="0" w:before="0" w:line="202" w:lineRule="exact"/>
            </w:pPr>
            <w:r>
              <w:rPr>
                <w:rFonts w:ascii="Consolas" w:cs="Consolas" w:eastAsia="Consolas" w:hAnsi="Consolas"/>
                <w:b w:val="false"/>
                <w:bCs w:val="false"/>
                <w:color w:val="595959"/>
                <w:sz w:val="17"/>
                <w:szCs w:val="17"/>
              </w:rPr>
              <w:t xml:space="preserve">   │  Query's, tablas y conexiones</w:t>
            </w:r>
          </w:p>
          <w:p>
            <w:pPr>
              <w:spacing w:after="0" w:before="0" w:line="202" w:lineRule="exact"/>
            </w:pPr>
            <w:r>
              <w:rPr>
                <w:rFonts w:ascii="Consolas" w:cs="Consolas" w:eastAsia="Consolas" w:hAnsi="Consolas"/>
                <w:b w:val="false"/>
                <w:bCs w:val="false"/>
                <w:color w:val="595959"/>
                <w:sz w:val="17"/>
                <w:szCs w:val="17"/>
              </w:rPr>
              <w:t xml:space="preserve">   ├──► </w:t>
            </w:r>
            <w:r>
              <w:rPr>
                <w:rFonts w:ascii="Consolas" w:cs="Consolas" w:eastAsia="Consolas" w:hAnsi="Consolas"/>
                <w:b/>
                <w:bCs/>
                <w:color w:val="1F3864"/>
                <w:sz w:val="17"/>
                <w:szCs w:val="17"/>
              </w:rPr>
              <w:t xml:space="preserve">Individual</w:t>
            </w:r>
          </w:p>
          <w:p>
            <w:pPr>
              <w:spacing w:after="0" w:before="0" w:line="202" w:lineRule="exact"/>
            </w:pPr>
            <w:r>
              <w:rPr>
                <w:rFonts w:ascii="Consolas" w:cs="Consolas" w:eastAsia="Consolas" w:hAnsi="Consolas"/>
                <w:b w:val="false"/>
                <w:bCs w:val="false"/>
                <w:color w:val="595959"/>
                <w:sz w:val="17"/>
                <w:szCs w:val="17"/>
              </w:rPr>
              <w:t xml:space="preserve">   ├──► </w:t>
            </w:r>
            <w:r>
              <w:rPr>
                <w:rFonts w:ascii="Consolas" w:cs="Consolas" w:eastAsia="Consolas" w:hAnsi="Consolas"/>
                <w:b/>
                <w:bCs/>
                <w:color w:val="1F3864"/>
                <w:sz w:val="17"/>
                <w:szCs w:val="17"/>
              </w:rPr>
              <w:t xml:space="preserve">Consolidado</w:t>
            </w:r>
          </w:p>
          <w:p>
            <w:pPr>
              <w:spacing w:after="0" w:before="0" w:line="202" w:lineRule="exact"/>
            </w:pPr>
            <w:r>
              <w:rPr>
                <w:rFonts w:ascii="Consolas" w:cs="Consolas" w:eastAsia="Consolas" w:hAnsi="Consolas"/>
                <w:b w:val="false"/>
                <w:bCs w:val="false"/>
                <w:color w:val="595959"/>
                <w:sz w:val="17"/>
                <w:szCs w:val="17"/>
              </w:rPr>
              <w:t xml:space="preserve">   └──► </w:t>
            </w:r>
            <w:r>
              <w:rPr>
                <w:rFonts w:ascii="Consolas" w:cs="Consolas" w:eastAsia="Consolas" w:hAnsi="Consolas"/>
                <w:b/>
                <w:bCs/>
                <w:color w:val="1F3864"/>
                <w:sz w:val="17"/>
                <w:szCs w:val="17"/>
              </w:rPr>
              <w:t xml:space="preserve">Combinado</w:t>
            </w:r>
          </w:p>
          <w:p>
            <w:pPr>
              <w:spacing w:after="0" w:before="0" w:line="202" w:lineRule="exact"/>
            </w:pPr>
            <w:r>
              <w:rPr>
                <w:rFonts w:ascii="Consolas" w:cs="Consolas" w:eastAsia="Consolas" w:hAnsi="Consolas"/>
                <w:b w:val="false"/>
                <w:bCs w:val="false"/>
                <w:color w:val="595959"/>
                <w:sz w:val="17"/>
                <w:szCs w:val="17"/>
              </w:rPr>
              <w:t xml:space="preserve">            │  Conexión ◄── Hoja Bases (parámetros)</w:t>
            </w:r>
          </w:p>
          <w:p>
            <w:pPr>
              <w:spacing w:after="0" w:before="0" w:line="202" w:lineRule="exact"/>
            </w:pPr>
            <w:r>
              <w:rPr>
                <w:rFonts w:ascii="Consolas" w:cs="Consolas" w:eastAsia="Consolas" w:hAnsi="Consolas"/>
                <w:b w:val="false"/>
                <w:bCs w:val="false"/>
                <w:color w:val="595959"/>
                <w:sz w:val="17"/>
                <w:szCs w:val="17"/>
              </w:rPr>
              <w:t xml:space="preserve">            ▼</w:t>
            </w:r>
          </w:p>
          <w:p>
            <w:pPr>
              <w:spacing w:after="0" w:before="0" w:line="202" w:lineRule="exact"/>
            </w:pPr>
            <w:r>
              <w:rPr>
                <w:rFonts w:ascii="Consolas" w:cs="Consolas" w:eastAsia="Consolas" w:hAnsi="Consolas"/>
                <w:b/>
                <w:bCs/>
                <w:color w:val="1F3864"/>
                <w:sz w:val="17"/>
                <w:szCs w:val="17"/>
              </w:rPr>
              <w:t xml:space="preserve">Workiva Wdesk</w:t>
            </w:r>
            <w:r>
              <w:rPr>
                <w:rFonts w:ascii="Consolas" w:cs="Consolas" w:eastAsia="Consolas" w:hAnsi="Consolas"/>
                <w:b w:val="false"/>
                <w:bCs w:val="false"/>
                <w:color w:val="595959"/>
                <w:sz w:val="17"/>
                <w:szCs w:val="17"/>
              </w:rPr>
              <w:t xml:space="preserve">                ◄── Notas Personas (linking)</w:t>
            </w:r>
          </w:p>
          <w:p>
            <w:pPr>
              <w:spacing w:after="0" w:before="0" w:line="202" w:lineRule="exact"/>
            </w:pPr>
            <w:r>
              <w:rPr>
                <w:rFonts w:ascii="Consolas" w:cs="Consolas" w:eastAsia="Consolas" w:hAnsi="Consolas"/>
                <w:b/>
                <w:bCs/>
                <w:color w:val="1F3864"/>
                <w:sz w:val="17"/>
                <w:szCs w:val="17"/>
              </w:rPr>
              <w:t xml:space="preserve">   Estados Financieros</w:t>
            </w:r>
            <w:r>
              <w:rPr>
                <w:rFonts w:ascii="Consolas" w:cs="Consolas" w:eastAsia="Consolas" w:hAnsi="Consolas"/>
                <w:b w:val="false"/>
                <w:bCs w:val="false"/>
                <w:color w:val="595959"/>
                <w:sz w:val="17"/>
                <w:szCs w:val="17"/>
              </w:rPr>
              <w:t xml:space="preserve">       ◄── Activo Fijo (linking)</w:t>
            </w:r>
          </w:p>
          <w:p>
            <w:pPr>
              <w:spacing w:after="0" w:before="0" w:line="202" w:lineRule="exact"/>
            </w:pPr>
            <w:r>
              <w:rPr>
                <w:rFonts w:ascii="Consolas" w:cs="Consolas" w:eastAsia="Consolas" w:hAnsi="Consolas"/>
                <w:b w:val="false"/>
                <w:bCs w:val="false"/>
                <w:color w:val="595959"/>
                <w:sz w:val="17"/>
                <w:szCs w:val="17"/>
              </w:rPr>
              <w:t xml:space="preserve">   Individual / Consolidado / Combinado</w:t>
            </w:r>
          </w:p>
          <w:p>
            <w:pPr>
              <w:spacing w:after="0" w:before="0" w:line="202" w:lineRule="exact"/>
            </w:pPr>
            <w:r>
              <w:rPr>
                <w:rFonts w:ascii="Consolas" w:cs="Consolas" w:eastAsia="Consolas" w:hAnsi="Consolas"/>
                <w:b w:val="false"/>
                <w:bCs w:val="false"/>
                <w:color w:val="595959"/>
                <w:sz w:val="17"/>
                <w:szCs w:val="17"/>
              </w:rPr>
              <w:t xml:space="preserve">            │  Validación y ajustes manuales</w:t>
            </w:r>
          </w:p>
          <w:p>
            <w:pPr>
              <w:spacing w:after="0" w:before="0" w:line="202" w:lineRule="exact"/>
            </w:pPr>
            <w:r>
              <w:rPr>
                <w:rFonts w:ascii="Consolas" w:cs="Consolas" w:eastAsia="Consolas" w:hAnsi="Consolas"/>
                <w:b w:val="false"/>
                <w:bCs w:val="false"/>
                <w:color w:val="595959"/>
                <w:sz w:val="17"/>
                <w:szCs w:val="17"/>
              </w:rPr>
              <w:t xml:space="preserve">            │  Linking</w:t>
            </w:r>
          </w:p>
          <w:p>
            <w:pPr>
              <w:spacing w:after="0" w:before="0" w:line="202" w:lineRule="exact"/>
            </w:pPr>
            <w:r>
              <w:rPr>
                <w:rFonts w:ascii="Consolas" w:cs="Consolas" w:eastAsia="Consolas" w:hAnsi="Consolas"/>
                <w:b w:val="false"/>
                <w:bCs w:val="false"/>
                <w:color w:val="595959"/>
                <w:sz w:val="17"/>
                <w:szCs w:val="17"/>
              </w:rPr>
              <w:t xml:space="preserve">            ├──► </w:t>
            </w:r>
            <w:r>
              <w:rPr>
                <w:rFonts w:ascii="Consolas" w:cs="Consolas" w:eastAsia="Consolas" w:hAnsi="Consolas"/>
                <w:b/>
                <w:bCs/>
                <w:color w:val="1F3864"/>
                <w:sz w:val="17"/>
                <w:szCs w:val="17"/>
              </w:rPr>
              <w:t xml:space="preserve">Informes Word (ESP)</w:t>
            </w:r>
            <w:r>
              <w:rPr>
                <w:rFonts w:ascii="Consolas" w:cs="Consolas" w:eastAsia="Consolas" w:hAnsi="Consolas"/>
                <w:b w:val="false"/>
                <w:bCs w:val="false"/>
                <w:color w:val="595959"/>
                <w:sz w:val="17"/>
                <w:szCs w:val="17"/>
              </w:rPr>
              <w:t xml:space="preserve"> ──► </w:t>
            </w:r>
            <w:r>
              <w:rPr>
                <w:rFonts w:ascii="Consolas" w:cs="Consolas" w:eastAsia="Consolas" w:hAnsi="Consolas"/>
                <w:b/>
                <w:bCs/>
                <w:color w:val="1F3864"/>
                <w:sz w:val="17"/>
                <w:szCs w:val="17"/>
              </w:rPr>
              <w:t xml:space="preserve">Informes Word (ING)</w:t>
            </w:r>
          </w:p>
          <w:p>
            <w:pPr>
              <w:spacing w:after="0" w:before="0" w:line="202" w:lineRule="exact"/>
            </w:pPr>
            <w:r>
              <w:rPr>
                <w:rFonts w:ascii="Consolas" w:cs="Consolas" w:eastAsia="Consolas" w:hAnsi="Consolas"/>
                <w:b w:val="false"/>
                <w:bCs w:val="false"/>
                <w:color w:val="595959"/>
                <w:sz w:val="17"/>
                <w:szCs w:val="17"/>
              </w:rPr>
              <w:t xml:space="preserve">            ├──► </w:t>
            </w:r>
            <w:r>
              <w:rPr>
                <w:rFonts w:ascii="Consolas" w:cs="Consolas" w:eastAsia="Consolas" w:hAnsi="Consolas"/>
                <w:b/>
                <w:bCs/>
                <w:color w:val="1F3864"/>
                <w:sz w:val="17"/>
                <w:szCs w:val="17"/>
              </w:rPr>
              <w:t xml:space="preserve">Presentaciones PPT</w:t>
            </w:r>
          </w:p>
          <w:p>
            <w:pPr>
              <w:spacing w:after="0" w:before="0" w:line="202" w:lineRule="exact"/>
            </w:pPr>
            <w:r>
              <w:rPr>
                <w:rFonts w:ascii="Consolas" w:cs="Consolas" w:eastAsia="Consolas" w:hAnsi="Consolas"/>
                <w:b w:val="false"/>
                <w:bCs w:val="false"/>
                <w:color w:val="595959"/>
                <w:sz w:val="17"/>
                <w:szCs w:val="17"/>
              </w:rPr>
              <w:t xml:space="preserve">            ├──► </w:t>
            </w:r>
            <w:r>
              <w:rPr>
                <w:rFonts w:ascii="Consolas" w:cs="Consolas" w:eastAsia="Consolas" w:hAnsi="Consolas"/>
                <w:b/>
                <w:bCs/>
                <w:color w:val="1F3864"/>
                <w:sz w:val="17"/>
                <w:szCs w:val="17"/>
              </w:rPr>
              <w:t xml:space="preserve">Monitor</w:t>
            </w:r>
          </w:p>
          <w:p>
            <w:pPr>
              <w:spacing w:after="0" w:before="0" w:line="202" w:lineRule="exact"/>
            </w:pPr>
            <w:r>
              <w:rPr>
                <w:rFonts w:ascii="Consolas" w:cs="Consolas" w:eastAsia="Consolas" w:hAnsi="Consolas"/>
                <w:b w:val="false"/>
                <w:bCs w:val="false"/>
                <w:color w:val="595959"/>
                <w:sz w:val="17"/>
                <w:szCs w:val="17"/>
              </w:rPr>
              <w:t xml:space="preserve">            └──► </w:t>
            </w:r>
            <w:r>
              <w:rPr>
                <w:rFonts w:ascii="Consolas" w:cs="Consolas" w:eastAsia="Consolas" w:hAnsi="Consolas"/>
                <w:b/>
                <w:bCs/>
                <w:color w:val="1F3864"/>
                <w:sz w:val="17"/>
                <w:szCs w:val="17"/>
              </w:rPr>
              <w:t xml:space="preserve">Reportes (Local / Chino)</w:t>
            </w:r>
          </w:p>
        </w:tc>
      </w:tr>
    </w:tbl>
    <w:p>
      <w:pPr>
        <w:pStyle w:val="Heading1"/>
      </w:pPr>
      <w:r>
        <w:t xml:space="preserve">6. Consideraciones del proceso</w:t>
      </w:r>
    </w:p>
    <w:p>
      <w:pPr>
        <w:spacing w:after="140" w:line="276"/>
        <w:jc w:val="both"/>
      </w:pPr>
      <w:r>
        <w:rPr>
          <w:b/>
          <w:bCs/>
          <w:color w:val="1F3864"/>
        </w:rPr>
        <w:t xml:space="preserve">Concentración de dependencias.</w:t>
      </w:r>
      <w:r>
        <w:t xml:space="preserve"> Los archivos de Estados Financieros en Wdesk constituyen el punto de convergencia de todo el proceso. Los informes Word, presentaciones, Monitor y Reportes dependen de ellos mediante vinculación, por lo que una inconsistencia en esta etapa se propaga simultáneamente a todos los entregables.</w:t>
      </w:r>
    </w:p>
    <w:p>
      <w:pPr>
        <w:spacing w:after="140" w:line="276"/>
        <w:jc w:val="both"/>
      </w:pPr>
      <w:r>
        <w:rPr>
          <w:b/>
          <w:bCs/>
          <w:color w:val="1F3864"/>
        </w:rPr>
        <w:t xml:space="preserve">Dos mecanismos de actualización.</w:t>
      </w:r>
      <w:r>
        <w:t xml:space="preserve"> El proceso emplea </w:t>
      </w:r>
      <w:r>
        <w:rPr>
          <w:i/>
          <w:iCs/>
        </w:rPr>
        <w:t xml:space="preserve">conexiones</w:t>
      </w:r>
      <w:r>
        <w:t xml:space="preserve"> (Wdata hacia Wdesk, y Bases hacia las hojas) para la carga de datos y parámetros, y </w:t>
      </w:r>
      <w:r>
        <w:rPr>
          <w:i/>
          <w:iCs/>
        </w:rPr>
        <w:t xml:space="preserve">linking</w:t>
      </w:r>
      <w:r>
        <w:t xml:space="preserve"> para la vinculación entre archivos de Wdesk. Ambos propagan cambios de forma automática.</w:t>
      </w:r>
    </w:p>
    <w:p>
      <w:pPr>
        <w:spacing w:after="140" w:line="276"/>
        <w:jc w:val="both"/>
      </w:pPr>
      <w:r>
        <w:rPr>
          <w:b/>
          <w:bCs/>
          <w:color w:val="1F3864"/>
        </w:rPr>
        <w:t xml:space="preserve">Secuencialidad de la traducción.</w:t>
      </w:r>
      <w:r>
        <w:t xml:space="preserve"> Los informes en inglés no se generan de forma paralela a los de español, sino derivada. Se recomienda cerrar la versión en español antes de iniciar el proceso de traducción.</w:t>
      </w:r>
    </w:p>
    <w:sectPr>
      <w:footerReference w:type="default" r:id="rId7"/>
      <w:pgSz w:w="12240" w:h="15840" w:orient="portrait"/>
      <w:pgMar w:top="1440" w:right="1440" w:bottom="1440" w:left="1440" w:header="708"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ePagina"/>
      <w:pBdr>
        <w:top w:val="single" w:color="D6DCE4" w:sz="4" w:space="6"/>
      </w:pBdr>
      <w:tabs>
        <w:tab w:val="right" w:pos="9360"/>
      </w:tabs>
      <w:spacing w:after="0" w:before="0"/>
    </w:pPr>
    <w:r>
      <w:rPr>
        <w:color w:val="808080"/>
        <w:sz w:val="17"/>
        <w:szCs w:val="17"/>
      </w:rPr>
      <w:t xml:space="preserve">Arquitectura de Workiva</w:t>
    </w:r>
    <w:r>
      <w:rPr>
        <w:sz w:val="17"/>
        <w:szCs w:val="17"/>
      </w:rPr>
      <w:t xml:space="preserve">	</w:t>
    </w:r>
    <w:r>
      <w:rPr>
        <w:color w:val="808080"/>
        <w:sz w:val="17"/>
        <w:szCs w:val="17"/>
      </w:rPr>
      <w:t xml:space="preserve">Página </w:t>
    </w:r>
    <w:r>
      <w:rPr>
        <w:color w:val="808080"/>
        <w:sz w:val="17"/>
        <w:szCs w:val="17"/>
      </w:rPr>
      <w:fldChar w:fldCharType="begin"/>
      <w:instrText xml:space="preserve">PAGE</w:instrText>
      <w:fldChar w:fldCharType="separate"/>
      <w:fldChar w:fldCharType="end"/>
    </w:r>
    <w:r>
      <w:rPr>
        <w:color w:val="808080"/>
        <w:sz w:val="17"/>
        <w:szCs w:val="17"/>
      </w:rPr>
      <w:t xml:space="preserve"> de </w:t>
    </w:r>
    <w:r>
      <w:rPr>
        <w:color w:val="8080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Calibri" w:cs="Calibri" w:eastAsia="Calibri" w:hAnsi="Calibri"/>
        <w:color w:val="2E74B5"/>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6DCE4" w:sz="6" w:space="4"/>
      </w:pBdr>
      <w:spacing w:after="180" w:before="400"/>
      <w:outlineLvl w:val="0"/>
    </w:pPr>
    <w:rPr>
      <w:rFonts w:ascii="Calibri" w:cs="Calibri" w:eastAsia="Calibri" w:hAnsi="Calibri"/>
      <w:b/>
      <w:bCs/>
      <w:color w:val="1F3864"/>
      <w:sz w:val="30"/>
      <w:szCs w:val="30"/>
    </w:rPr>
  </w:style>
  <w:style w:type="paragraph" w:styleId="PieDePagina">
    <w:name w:val="Pie de pagina"/>
    <w:basedOn w:val="Normal"/>
    <w:next w:val="Normal"/>
    <w:pPr>
      <w:spacing w:after="0" w:before="0" w:line="240"/>
    </w:pPr>
    <w:rPr>
      <w:rFonts w:ascii="Calibri" w:cs="Calibri" w:eastAsia="Calibri" w:hAnsi="Calibri"/>
      <w:color w:val="808080"/>
      <w:sz w:val="17"/>
      <w:szCs w:val="17"/>
    </w:rPr>
  </w:style>
  <w:style w:type="paragraph" w:styleId="Heading2">
    <w:name w:val="Heading 2"/>
    <w:basedOn w:val="Normal"/>
    <w:next w:val="Normal"/>
    <w:qFormat/>
    <w:pPr>
      <w:keepNext/>
      <w:spacing w:after="100" w:before="280"/>
      <w:outlineLvl w:val="1"/>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Workiva</dc:title>
  <dc:creator>Emerson Garrido Villarroel</dc:creator>
  <dc:description>Arquitectura de Workiva</dc:description>
  <cp:lastModifiedBy>Un-named</cp:lastModifiedBy>
  <cp:revision>1</cp:revision>
  <dcterms:created xsi:type="dcterms:W3CDTF">2026-08-03T20:29:45.192Z</dcterms:created>
  <dcterms:modified xsi:type="dcterms:W3CDTF">2026-08-03T20:29:45.192Z</dcterms:modified>
</cp:coreProperties>
</file>

<file path=docProps/custom.xml><?xml version="1.0" encoding="utf-8"?>
<Properties xmlns="http://schemas.openxmlformats.org/officeDocument/2006/custom-properties" xmlns:vt="http://schemas.openxmlformats.org/officeDocument/2006/docPropsVTypes"/>
</file>