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widowControl/>
        <w:spacing w:before="0" w:after="40" w:line="240" w:lineRule="auto"/>
        <w:ind w:left="0"/>
        <w:jc w:val="center"/>
      </w:pPr>
      <w:r>
        <w:rPr>
          <w:rFonts w:ascii="Times New Roman" w:hAnsi="Times New Roman" w:eastAsia="Times New Roman" w:cs="Times New Roman"/>
          <w:b/>
          <w:i w:val="0"/>
          <w:sz w:val="26"/>
        </w:rPr>
        <w:t>BRAVADO SPICE LLC</w:t>
      </w:r>
    </w:p>
    <w:p>
      <w:pPr>
        <w:keepNext w:val="0"/>
        <w:widowControl/>
        <w:spacing w:before="0" w:after="280" w:line="240" w:lineRule="auto"/>
        <w:ind w:left="0"/>
        <w:jc w:val="center"/>
      </w:pPr>
      <w:r>
        <w:rPr>
          <w:rFonts w:ascii="Times New Roman" w:hAnsi="Times New Roman" w:eastAsia="Times New Roman" w:cs="Times New Roman"/>
          <w:b w:val="0"/>
          <w:i/>
          <w:sz w:val="21"/>
        </w:rPr>
        <w:t>A Texas Limited Liability Company</w:t>
      </w:r>
    </w:p>
    <w:p>
      <w:pPr>
        <w:keepNext w:val="0"/>
        <w:widowControl/>
        <w:spacing w:before="0" w:after="80" w:line="240" w:lineRule="auto"/>
        <w:ind w:left="0"/>
        <w:jc w:val="center"/>
      </w:pPr>
      <w:r>
        <w:rPr>
          <w:rFonts w:ascii="Times New Roman" w:hAnsi="Times New Roman" w:eastAsia="Times New Roman" w:cs="Times New Roman"/>
          <w:b/>
          <w:i w:val="0"/>
          <w:sz w:val="28"/>
        </w:rPr>
        <w:t>JOINT MEMBERS’ REQUEST FOR RECORDS AND WRITTEN CONFIRMATIONS</w:t>
      </w:r>
    </w:p>
    <w:p>
      <w:pPr>
        <w:keepNext w:val="0"/>
        <w:widowControl/>
        <w:spacing w:before="0" w:after="280" w:line="240" w:lineRule="auto"/>
        <w:ind w:left="0"/>
        <w:jc w:val="center"/>
      </w:pPr>
      <w:r>
        <w:rPr>
          <w:rFonts w:ascii="Times New Roman" w:hAnsi="Times New Roman" w:eastAsia="Times New Roman" w:cs="Times New Roman"/>
          <w:b w:val="0"/>
          <w:i/>
          <w:sz w:val="22"/>
        </w:rPr>
        <w:t>Made Pursuant to the Operating Agreement, the Investment Agreements, and Texas Law</w:t>
      </w:r>
    </w:p>
    <w:p>
      <w:pPr>
        <w:spacing w:before="0" w:after="280"/>
        <w:pBdr>
          <w:bottom w:val="single" w:sz="6" w:space="1" w:color="808080"/>
        </w:pBdr>
      </w:pPr>
    </w:p>
    <w:tbl>
      <w:tblPr>
        <w:tblW w:type="auto" w:w="0"/>
        <w:jc w:val="center"/>
        <w:tblLook w:firstColumn="1" w:firstRow="1" w:lastColumn="0" w:lastRow="0" w:noHBand="0" w:noVBand="1" w:val="04A0"/>
      </w:tblPr>
      <w:tblGrid>
        <w:gridCol w:w="9360"/>
      </w:tblGrid>
      <w:tr>
        <w:tc>
          <w:tcPr>
            <w:tcW w:type="dxa" w:w="9360"/>
            <w:shd w:val="clear" w:color="auto" w:fill="F2F2F2"/>
            <w:tcBorders>
              <w:top w:val="single" w:sz="6" w:space="0" w:color="7F7F7F"/>
              <w:left w:val="single" w:sz="6" w:space="0" w:color="7F7F7F"/>
              <w:bottom w:val="single" w:sz="6" w:space="0" w:color="7F7F7F"/>
              <w:right w:val="single" w:sz="6" w:space="0" w:color="7F7F7F"/>
            </w:tcBorders>
            <w:tcMar>
              <w:top w:w="120" w:type="dxa"/>
              <w:left w:w="160" w:type="dxa"/>
              <w:bottom w:w="120" w:type="dxa"/>
              <w:right w:w="160" w:type="dxa"/>
            </w:tcMar>
          </w:tcPr>
          <w:p>
            <w:pPr>
              <w:spacing w:after="120"/>
              <w:jc w:val="both"/>
            </w:pPr>
            <w:r>
              <w:rPr>
                <w:rFonts w:ascii="Times New Roman" w:hAnsi="Times New Roman" w:eastAsia="Times New Roman" w:cs="Times New Roman"/>
                <w:b/>
                <w:i w:val="0"/>
                <w:sz w:val="21"/>
              </w:rPr>
              <w:t>NOTE TO COUNSEL — STATUS: DRAFT FOR REVIEW.</w:t>
            </w:r>
          </w:p>
          <w:p>
            <w:pPr>
              <w:spacing w:after="120" w:line="240" w:lineRule="auto"/>
              <w:jc w:val="both"/>
            </w:pPr>
            <w:r>
              <w:rPr>
                <w:rFonts w:ascii="Times New Roman" w:hAnsi="Times New Roman" w:eastAsia="Times New Roman" w:cs="Times New Roman"/>
                <w:b w:val="0"/>
                <w:i w:val="0"/>
                <w:sz w:val="21"/>
              </w:rPr>
              <w:t>Prepared for Blake Benthall (for Comatri, Inc.) and Hugh &amp; Christy Nguyen to review, edit, and sign. This is a working draft, not legal advice — counsel is asked to review it before it is sent, particularly the statutory citation at paragraph 4 of the introduction. It is deliberately scoped to documents that already exist and can be produced by forwarding files; nothing here requires the creation of new analyses except the short certifications in Section E.</w:t>
            </w:r>
          </w:p>
          <w:p>
            <w:pPr>
              <w:spacing w:after="0" w:line="240" w:lineRule="auto"/>
              <w:jc w:val="both"/>
            </w:pPr>
            <w:r>
              <w:rPr>
                <w:rFonts w:ascii="Times New Roman" w:hAnsi="Times New Roman" w:eastAsia="Times New Roman" w:cs="Times New Roman"/>
                <w:b w:val="0"/>
                <w:i w:val="0"/>
                <w:sz w:val="21"/>
              </w:rPr>
              <w:t>The drafting notes at the end of this document are for the requesting members and counsel only and are to be removed before the request is transmitted.</w:t>
            </w:r>
          </w:p>
        </w:tc>
      </w:tr>
    </w:tbl>
    <w:p>
      <w:pPr>
        <w:keepNext w:val="0"/>
        <w:widowControl/>
        <w:spacing w:before="0" w:after="320" w:line="240" w:lineRule="auto"/>
        <w:ind w:left="0"/>
        <w:jc w:val="both"/>
      </w:pPr>
    </w:p>
    <w:tbl>
      <w:tblPr>
        <w:tblW w:type="auto" w:w="0"/>
        <w:tblLayout w:type="fixed"/>
        <w:tblLook w:firstColumn="1" w:firstRow="1" w:lastColumn="0" w:lastRow="0" w:noHBand="0" w:noVBand="1" w:val="04A0"/>
      </w:tblPr>
      <w:tblGrid>
        <w:gridCol w:w="4680"/>
        <w:gridCol w:w="4680"/>
      </w:tblGrid>
      <w:tr>
        <w:tc>
          <w:tcPr>
            <w:tcW w:type="dxa" w:w="1080"/>
            <w:tcMar>
              <w:top w:w="0" w:type="dxa"/>
              <w:left w:w="0" w:type="dxa"/>
              <w:bottom w:w="0" w:type="dxa"/>
              <w:right w:w="60" w:type="dxa"/>
            </w:tcMar>
          </w:tcPr>
          <w:p>
            <w:pPr>
              <w:spacing w:after="60"/>
            </w:pPr>
            <w:r>
              <w:rPr>
                <w:rFonts w:ascii="Times New Roman" w:hAnsi="Times New Roman" w:eastAsia="Times New Roman" w:cs="Times New Roman"/>
                <w:b/>
                <w:i w:val="0"/>
                <w:sz w:val="24"/>
              </w:rPr>
              <w:t>To:</w:t>
            </w:r>
          </w:p>
        </w:tc>
        <w:tc>
          <w:tcPr>
            <w:tcW w:type="dxa" w:w="8280"/>
            <w:tcMar>
              <w:top w:w="0" w:type="dxa"/>
              <w:left w:w="0" w:type="dxa"/>
              <w:bottom w:w="0" w:type="dxa"/>
              <w:right w:w="60" w:type="dxa"/>
            </w:tcMar>
          </w:tcPr>
          <w:p>
            <w:pPr>
              <w:spacing w:after="60"/>
            </w:pPr>
            <w:r>
              <w:rPr>
                <w:rFonts w:ascii="Times New Roman" w:hAnsi="Times New Roman" w:eastAsia="Times New Roman" w:cs="Times New Roman"/>
                <w:b w:val="0"/>
                <w:i w:val="0"/>
                <w:sz w:val="24"/>
              </w:rPr>
              <w:t>Jeremiah Tallerine, Chief Executive Manager, Bravado Spice LLC</w:t>
            </w:r>
          </w:p>
        </w:tc>
      </w:tr>
      <w:tr>
        <w:tc>
          <w:tcPr>
            <w:tcW w:type="dxa" w:w="1080"/>
            <w:tcMar>
              <w:top w:w="0" w:type="dxa"/>
              <w:left w:w="0" w:type="dxa"/>
              <w:bottom w:w="0" w:type="dxa"/>
              <w:right w:w="60" w:type="dxa"/>
            </w:tcMar>
          </w:tcPr>
          <w:p>
            <w:pPr>
              <w:spacing w:after="60"/>
            </w:pPr>
            <w:r>
              <w:rPr>
                <w:rFonts w:ascii="Times New Roman" w:hAnsi="Times New Roman" w:eastAsia="Times New Roman" w:cs="Times New Roman"/>
                <w:b/>
                <w:i w:val="0"/>
                <w:sz w:val="24"/>
              </w:rPr>
              <w:t>From:</w:t>
            </w:r>
          </w:p>
        </w:tc>
        <w:tc>
          <w:tcPr>
            <w:tcW w:type="dxa" w:w="8280"/>
            <w:tcMar>
              <w:top w:w="0" w:type="dxa"/>
              <w:left w:w="0" w:type="dxa"/>
              <w:bottom w:w="0" w:type="dxa"/>
              <w:right w:w="60" w:type="dxa"/>
            </w:tcMar>
          </w:tcPr>
          <w:p>
            <w:pPr>
              <w:spacing w:after="60"/>
            </w:pPr>
            <w:r>
              <w:rPr>
                <w:rFonts w:ascii="Times New Roman" w:hAnsi="Times New Roman" w:eastAsia="Times New Roman" w:cs="Times New Roman"/>
                <w:b w:val="0"/>
                <w:i w:val="0"/>
                <w:sz w:val="24"/>
              </w:rPr>
              <w:t>Comatri, Inc. (member, 1,000 units) and Hugh &amp; Christy Nguyen (members, 2,000 units)</w:t>
            </w:r>
          </w:p>
        </w:tc>
      </w:tr>
      <w:tr>
        <w:tc>
          <w:tcPr>
            <w:tcW w:type="dxa" w:w="1080"/>
            <w:tcMar>
              <w:top w:w="0" w:type="dxa"/>
              <w:left w:w="0" w:type="dxa"/>
              <w:bottom w:w="0" w:type="dxa"/>
              <w:right w:w="60" w:type="dxa"/>
            </w:tcMar>
          </w:tcPr>
          <w:p>
            <w:pPr>
              <w:spacing w:after="60"/>
            </w:pPr>
            <w:r>
              <w:rPr>
                <w:rFonts w:ascii="Times New Roman" w:hAnsi="Times New Roman" w:eastAsia="Times New Roman" w:cs="Times New Roman"/>
                <w:b/>
                <w:i w:val="0"/>
                <w:sz w:val="24"/>
              </w:rPr>
              <w:t>Date:</w:t>
            </w:r>
          </w:p>
        </w:tc>
        <w:tc>
          <w:tcPr>
            <w:tcW w:type="dxa" w:w="8280"/>
            <w:tcMar>
              <w:top w:w="0" w:type="dxa"/>
              <w:left w:w="0" w:type="dxa"/>
              <w:bottom w:w="0" w:type="dxa"/>
              <w:right w:w="60" w:type="dxa"/>
            </w:tcMar>
          </w:tcPr>
          <w:p>
            <w:pPr>
              <w:spacing w:after="60"/>
            </w:pPr>
            <w:r>
              <w:rPr>
                <w:rFonts w:ascii="Times New Roman" w:hAnsi="Times New Roman" w:eastAsia="Times New Roman" w:cs="Times New Roman"/>
                <w:b w:val="0"/>
                <w:i w:val="0"/>
                <w:sz w:val="24"/>
              </w:rPr>
              <w:t>[_______], 2026</w:t>
            </w:r>
          </w:p>
        </w:tc>
      </w:tr>
      <w:tr>
        <w:tc>
          <w:tcPr>
            <w:tcW w:type="dxa" w:w="1080"/>
            <w:tcMar>
              <w:top w:w="0" w:type="dxa"/>
              <w:left w:w="0" w:type="dxa"/>
              <w:bottom w:w="0" w:type="dxa"/>
              <w:right w:w="60" w:type="dxa"/>
            </w:tcMar>
          </w:tcPr>
          <w:p>
            <w:pPr>
              <w:spacing w:after="60"/>
            </w:pPr>
            <w:r>
              <w:rPr>
                <w:rFonts w:ascii="Times New Roman" w:hAnsi="Times New Roman" w:eastAsia="Times New Roman" w:cs="Times New Roman"/>
                <w:b/>
                <w:i w:val="0"/>
                <w:sz w:val="24"/>
              </w:rPr>
              <w:t>Re:</w:t>
            </w:r>
          </w:p>
        </w:tc>
        <w:tc>
          <w:tcPr>
            <w:tcW w:type="dxa" w:w="8280"/>
            <w:tcMar>
              <w:top w:w="0" w:type="dxa"/>
              <w:left w:w="0" w:type="dxa"/>
              <w:bottom w:w="0" w:type="dxa"/>
              <w:right w:w="60" w:type="dxa"/>
            </w:tcMar>
          </w:tcPr>
          <w:p>
            <w:pPr>
              <w:spacing w:after="60"/>
            </w:pPr>
            <w:r>
              <w:rPr>
                <w:rFonts w:ascii="Times New Roman" w:hAnsi="Times New Roman" w:eastAsia="Times New Roman" w:cs="Times New Roman"/>
                <w:b/>
                <w:i w:val="0"/>
                <w:sz w:val="24"/>
              </w:rPr>
              <w:t>Members’ request for records pursuant to the Operating Agreement and Texas law</w:t>
            </w:r>
          </w:p>
        </w:tc>
      </w:tr>
    </w:tbl>
    <w:p>
      <w:pPr>
        <w:spacing w:before="200" w:after="280"/>
        <w:pBdr>
          <w:bottom w:val="single" w:sz="6" w:space="1" w:color="808080"/>
        </w:pBdr>
      </w:pPr>
    </w:p>
    <w:p>
      <w:pPr>
        <w:keepNext w:val="0"/>
        <w:widowControl/>
        <w:spacing w:before="0" w:after="200" w:line="240" w:lineRule="auto"/>
        <w:ind w:left="0"/>
        <w:jc w:val="left"/>
      </w:pPr>
      <w:r>
        <w:rPr>
          <w:rFonts w:ascii="Times New Roman" w:hAnsi="Times New Roman" w:eastAsia="Times New Roman" w:cs="Times New Roman"/>
          <w:b w:val="0"/>
          <w:i w:val="0"/>
          <w:sz w:val="24"/>
        </w:rPr>
        <w:t>Dear Jeremiah:</w:t>
      </w:r>
    </w:p>
    <w:p>
      <w:pPr>
        <w:keepNext w:val="0"/>
        <w:widowControl/>
        <w:spacing w:before="0" w:after="160" w:line="240" w:lineRule="auto"/>
        <w:ind w:left="0"/>
        <w:jc w:val="both"/>
      </w:pPr>
      <w:r>
        <w:rPr>
          <w:rFonts w:ascii="Times New Roman" w:hAnsi="Times New Roman" w:eastAsia="Times New Roman" w:cs="Times New Roman"/>
          <w:b w:val="0"/>
          <w:i w:val="0"/>
          <w:sz w:val="24"/>
        </w:rPr>
        <w:t>We are writing together, as members holding 3,000 of the Company’s 10,700 units, to request copies of the records listed below. We make this request under:</w:t>
      </w:r>
    </w:p>
    <w:p>
      <w:pPr>
        <w:keepNext w:val="0"/>
        <w:widowControl/>
        <w:spacing w:before="0" w:after="120" w:line="240" w:lineRule="auto"/>
        <w:ind w:left="648" w:hanging="360"/>
        <w:jc w:val="both"/>
      </w:pPr>
      <w:r>
        <w:rPr>
          <w:rFonts w:ascii="Times New Roman" w:hAnsi="Times New Roman" w:eastAsia="Times New Roman" w:cs="Times New Roman"/>
          <w:b w:val="0"/>
          <w:i w:val="0"/>
          <w:sz w:val="24"/>
        </w:rPr>
        <w:t xml:space="preserve">• </w:t>
      </w:r>
      <w:r>
        <w:rPr>
          <w:rFonts w:ascii="Times New Roman" w:hAnsi="Times New Roman" w:eastAsia="Times New Roman" w:cs="Times New Roman"/>
          <w:b/>
          <w:i w:val="0"/>
          <w:sz w:val="24"/>
        </w:rPr>
        <w:t>Operating Agreement §4.6</w:t>
      </w:r>
      <w:r>
        <w:rPr>
          <w:rFonts w:ascii="Times New Roman" w:hAnsi="Times New Roman" w:eastAsia="Times New Roman" w:cs="Times New Roman"/>
          <w:b w:val="0"/>
          <w:i w:val="0"/>
          <w:sz w:val="24"/>
        </w:rPr>
        <w:t xml:space="preserve">, which provides that upon request the Managers shall supply to any member information regarding the Company or its activities, and that each member may inspect and copy </w:t>
      </w:r>
      <w:r>
        <w:rPr>
          <w:rFonts w:ascii="Times New Roman" w:hAnsi="Times New Roman" w:eastAsia="Times New Roman" w:cs="Times New Roman"/>
          <w:b/>
          <w:i w:val="0"/>
          <w:sz w:val="24"/>
        </w:rPr>
        <w:t>all books, records and materials</w:t>
      </w:r>
      <w:r>
        <w:rPr>
          <w:rFonts w:ascii="Times New Roman" w:hAnsi="Times New Roman" w:eastAsia="Times New Roman" w:cs="Times New Roman"/>
          <w:b w:val="0"/>
          <w:i w:val="0"/>
          <w:sz w:val="24"/>
        </w:rPr>
        <w:t xml:space="preserve"> in the Manager’s possession;</w:t>
      </w:r>
    </w:p>
    <w:p>
      <w:pPr>
        <w:keepNext w:val="0"/>
        <w:widowControl/>
        <w:spacing w:before="0" w:after="120" w:line="240" w:lineRule="auto"/>
        <w:ind w:left="648" w:hanging="360"/>
        <w:jc w:val="both"/>
      </w:pPr>
      <w:r>
        <w:rPr>
          <w:rFonts w:ascii="Times New Roman" w:hAnsi="Times New Roman" w:eastAsia="Times New Roman" w:cs="Times New Roman"/>
          <w:b w:val="0"/>
          <w:i w:val="0"/>
          <w:sz w:val="24"/>
        </w:rPr>
        <w:t xml:space="preserve">• </w:t>
      </w:r>
      <w:r>
        <w:rPr>
          <w:rFonts w:ascii="Times New Roman" w:hAnsi="Times New Roman" w:eastAsia="Times New Roman" w:cs="Times New Roman"/>
          <w:b/>
          <w:i w:val="0"/>
          <w:sz w:val="24"/>
        </w:rPr>
        <w:t>Operating Agreement §4.9</w:t>
      </w:r>
      <w:r>
        <w:rPr>
          <w:rFonts w:ascii="Times New Roman" w:hAnsi="Times New Roman" w:eastAsia="Times New Roman" w:cs="Times New Roman"/>
          <w:b w:val="0"/>
          <w:i w:val="0"/>
          <w:sz w:val="24"/>
        </w:rPr>
        <w:t>, which requires the Company to keep its member list, governing documents, income tax returns for the three most recent years, and financial statements for the three most recent years;</w:t>
      </w:r>
    </w:p>
    <w:p>
      <w:pPr>
        <w:keepNext w:val="0"/>
        <w:widowControl/>
        <w:spacing w:before="0" w:after="120" w:line="240" w:lineRule="auto"/>
        <w:ind w:left="648" w:hanging="360"/>
        <w:jc w:val="both"/>
      </w:pPr>
      <w:r>
        <w:rPr>
          <w:rFonts w:ascii="Times New Roman" w:hAnsi="Times New Roman" w:eastAsia="Times New Roman" w:cs="Times New Roman"/>
          <w:b w:val="0"/>
          <w:i w:val="0"/>
          <w:sz w:val="24"/>
        </w:rPr>
        <w:t xml:space="preserve">• </w:t>
      </w:r>
      <w:r>
        <w:rPr>
          <w:rFonts w:ascii="Times New Roman" w:hAnsi="Times New Roman" w:eastAsia="Times New Roman" w:cs="Times New Roman"/>
          <w:b/>
          <w:i w:val="0"/>
          <w:sz w:val="24"/>
        </w:rPr>
        <w:t>Section 1(a) of the Comatri, Inc. Investment Agreement</w:t>
      </w:r>
      <w:r>
        <w:rPr>
          <w:rFonts w:ascii="Times New Roman" w:hAnsi="Times New Roman" w:eastAsia="Times New Roman" w:cs="Times New Roman"/>
          <w:b w:val="0"/>
          <w:i w:val="0"/>
          <w:sz w:val="24"/>
        </w:rPr>
        <w:t xml:space="preserve"> (access to the Company’s financial records from 11/20/2024); and</w:t>
      </w:r>
    </w:p>
    <w:p>
      <w:pPr>
        <w:keepNext w:val="0"/>
        <w:widowControl/>
        <w:spacing w:before="0" w:after="200" w:line="240" w:lineRule="auto"/>
        <w:ind w:left="648" w:hanging="360"/>
        <w:jc w:val="both"/>
      </w:pPr>
      <w:r>
        <w:rPr>
          <w:rFonts w:ascii="Times New Roman" w:hAnsi="Times New Roman" w:eastAsia="Times New Roman" w:cs="Times New Roman"/>
          <w:b w:val="0"/>
          <w:i w:val="0"/>
          <w:sz w:val="24"/>
        </w:rPr>
        <w:t xml:space="preserve">• </w:t>
      </w:r>
      <w:r>
        <w:rPr>
          <w:rFonts w:ascii="Times New Roman" w:hAnsi="Times New Roman" w:eastAsia="Times New Roman" w:cs="Times New Roman"/>
          <w:b/>
          <w:i w:val="0"/>
          <w:sz w:val="24"/>
        </w:rPr>
        <w:t>Texas Business Organizations Code §101.502</w:t>
      </w:r>
      <w:r>
        <w:rPr>
          <w:rFonts w:ascii="Times New Roman" w:hAnsi="Times New Roman" w:eastAsia="Times New Roman" w:cs="Times New Roman"/>
          <w:b w:val="0"/>
          <w:i w:val="0"/>
          <w:sz w:val="24"/>
        </w:rPr>
        <w:t xml:space="preserve"> [counsel to confirm citation], which entitles members to examine and copy company records on written request for a proper purpose.</w:t>
      </w:r>
    </w:p>
    <w:p>
      <w:pPr>
        <w:keepNext w:val="0"/>
        <w:widowControl/>
        <w:spacing w:before="0" w:after="160" w:line="240" w:lineRule="auto"/>
        <w:ind w:left="0"/>
        <w:jc w:val="both"/>
      </w:pPr>
      <w:r>
        <w:rPr>
          <w:rFonts w:ascii="Times New Roman" w:hAnsi="Times New Roman" w:eastAsia="Times New Roman" w:cs="Times New Roman"/>
          <w:b/>
          <w:i w:val="0"/>
          <w:sz w:val="24"/>
        </w:rPr>
        <w:t>Our purpose</w:t>
      </w:r>
      <w:r>
        <w:rPr>
          <w:rFonts w:ascii="Times New Roman" w:hAnsi="Times New Roman" w:eastAsia="Times New Roman" w:cs="Times New Roman"/>
          <w:b w:val="0"/>
          <w:i w:val="0"/>
          <w:sz w:val="24"/>
        </w:rPr>
        <w:t xml:space="preserve"> is proper and specific: to verify the financial information that has been provided to members in the July 22 and August 24, 2026 investor communications; to understand the status and tax treatment of our own membership interests and member loans; and to make an informed decision on the deferral and March 2027 repayment questions you have put to us. You asked us in July to hold you accountable — this is us doing that.</w:t>
      </w:r>
    </w:p>
    <w:p>
      <w:pPr>
        <w:keepNext w:val="0"/>
        <w:widowControl/>
        <w:spacing w:before="0" w:after="120" w:line="240" w:lineRule="auto"/>
        <w:ind w:left="0"/>
        <w:jc w:val="both"/>
      </w:pPr>
      <w:r>
        <w:rPr>
          <w:rFonts w:ascii="Times New Roman" w:hAnsi="Times New Roman" w:eastAsia="Times New Roman" w:cs="Times New Roman"/>
          <w:b w:val="0"/>
          <w:i w:val="0"/>
          <w:sz w:val="24"/>
        </w:rPr>
        <w:t xml:space="preserve">We have kept this request deliberately light. Every item in Sections A–D is an </w:t>
      </w:r>
      <w:r>
        <w:rPr>
          <w:rFonts w:ascii="Times New Roman" w:hAnsi="Times New Roman" w:eastAsia="Times New Roman" w:cs="Times New Roman"/>
          <w:b/>
          <w:i w:val="0"/>
          <w:sz w:val="24"/>
        </w:rPr>
        <w:t>existing document</w:t>
      </w:r>
      <w:r>
        <w:rPr>
          <w:rFonts w:ascii="Times New Roman" w:hAnsi="Times New Roman" w:eastAsia="Times New Roman" w:cs="Times New Roman"/>
          <w:b w:val="0"/>
          <w:i w:val="0"/>
          <w:sz w:val="24"/>
        </w:rPr>
        <w:t xml:space="preserve">: producing it means locating and forwarding a file, not creating anything new. Electronic copies (PDF or native files) by email or shared drive are fine. Where granting </w:t>
      </w:r>
      <w:r>
        <w:rPr>
          <w:rFonts w:ascii="Times New Roman" w:hAnsi="Times New Roman" w:eastAsia="Times New Roman" w:cs="Times New Roman"/>
          <w:b/>
          <w:i w:val="0"/>
          <w:sz w:val="24"/>
        </w:rPr>
        <w:t>read-only access</w:t>
      </w:r>
      <w:r>
        <w:rPr>
          <w:rFonts w:ascii="Times New Roman" w:hAnsi="Times New Roman" w:eastAsia="Times New Roman" w:cs="Times New Roman"/>
          <w:b w:val="0"/>
          <w:i w:val="0"/>
          <w:sz w:val="24"/>
        </w:rPr>
        <w:t xml:space="preserve"> to a system (Finaloop, bank portal) is easier than exporting, we will accept access in lieu of copies. We are happy to receive documents on a rolling basis as they are located.</w:t>
      </w:r>
    </w:p>
    <w:p>
      <w:pPr>
        <w:spacing w:before="160" w:after="240"/>
        <w:pBdr>
          <w:bottom w:val="single" w:sz="6" w:space="1" w:color="808080"/>
        </w:pBdr>
      </w:pPr>
    </w:p>
    <w:p>
      <w:pPr>
        <w:keepNext/>
        <w:spacing w:before="280" w:after="140"/>
        <w:jc w:val="left"/>
        <w:pBdr>
          <w:bottom w:val="single" w:sz="4" w:space="3" w:color="A6A6A6"/>
        </w:pBdr>
      </w:pPr>
      <w:r>
        <w:rPr>
          <w:rFonts w:ascii="Times New Roman" w:hAnsi="Times New Roman" w:eastAsia="Times New Roman" w:cs="Times New Roman"/>
          <w:b/>
          <w:i w:val="0"/>
          <w:sz w:val="24"/>
        </w:rPr>
        <w:t>SECTION A.  TAX RECORDS</w:t>
      </w:r>
      <w:r>
        <w:rPr>
          <w:rFonts w:ascii="Times New Roman" w:hAnsi="Times New Roman" w:eastAsia="Times New Roman" w:cs="Times New Roman"/>
          <w:i/>
          <w:color w:val="404040"/>
          <w:sz w:val="21"/>
        </w:rPr>
        <w:t xml:space="preserve">   (requested within 10 business days)</w:t>
      </w:r>
    </w:p>
    <w:p>
      <w:pPr>
        <w:tabs>
          <w:tab w:pos="576" w:val="left"/>
        </w:tabs>
        <w:spacing w:after="160" w:line="240" w:lineRule="auto"/>
        <w:ind w:left="576" w:hanging="576"/>
        <w:jc w:val="both"/>
      </w:pPr>
      <w:r>
        <w:rPr>
          <w:rFonts w:ascii="Times New Roman" w:hAnsi="Times New Roman" w:eastAsia="Times New Roman" w:cs="Times New Roman"/>
          <w:b/>
          <w:sz w:val="24"/>
        </w:rPr>
        <w:t>1.</w:t>
      </w:r>
      <w:r>
        <w:rPr>
          <w:rFonts w:ascii="Times New Roman" w:hAnsi="Times New Roman" w:eastAsia="Times New Roman" w:cs="Times New Roman"/>
          <w:sz w:val="24"/>
        </w:rPr>
        <w:tab/>
      </w:r>
      <w:r>
        <w:rPr>
          <w:rFonts w:ascii="Times New Roman" w:hAnsi="Times New Roman" w:eastAsia="Times New Roman" w:cs="Times New Roman"/>
          <w:b w:val="0"/>
          <w:i w:val="0"/>
          <w:sz w:val="24"/>
        </w:rPr>
        <w:t xml:space="preserve">The Company’s </w:t>
      </w:r>
      <w:r>
        <w:rPr>
          <w:rFonts w:ascii="Times New Roman" w:hAnsi="Times New Roman" w:eastAsia="Times New Roman" w:cs="Times New Roman"/>
          <w:b/>
          <w:i w:val="0"/>
          <w:sz w:val="24"/>
        </w:rPr>
        <w:t>federal income tax returns for 2023, 2024, and 2025</w:t>
      </w:r>
      <w:r>
        <w:rPr>
          <w:rFonts w:ascii="Times New Roman" w:hAnsi="Times New Roman" w:eastAsia="Times New Roman" w:cs="Times New Roman"/>
          <w:b w:val="0"/>
          <w:i w:val="0"/>
          <w:sz w:val="24"/>
        </w:rPr>
        <w:t xml:space="preserve"> as filed, complete with all schedules and attachments. </w:t>
      </w:r>
      <w:r>
        <w:rPr>
          <w:rFonts w:ascii="Times New Roman" w:hAnsi="Times New Roman" w:eastAsia="Times New Roman" w:cs="Times New Roman"/>
          <w:b w:val="0"/>
          <w:i/>
          <w:sz w:val="24"/>
        </w:rPr>
        <w:t>(The Operating Agreement already requires these be kept on hand; the July materials quote the 2024 return, so it is at hand.)</w:t>
      </w:r>
    </w:p>
    <w:p>
      <w:pPr>
        <w:tabs>
          <w:tab w:pos="576" w:val="left"/>
        </w:tabs>
        <w:spacing w:after="160" w:line="240" w:lineRule="auto"/>
        <w:ind w:left="576" w:hanging="576"/>
        <w:jc w:val="both"/>
      </w:pPr>
      <w:r>
        <w:rPr>
          <w:rFonts w:ascii="Times New Roman" w:hAnsi="Times New Roman" w:eastAsia="Times New Roman" w:cs="Times New Roman"/>
          <w:b/>
          <w:sz w:val="24"/>
        </w:rPr>
        <w:t>2.</w:t>
      </w:r>
      <w:r>
        <w:rPr>
          <w:rFonts w:ascii="Times New Roman" w:hAnsi="Times New Roman" w:eastAsia="Times New Roman" w:cs="Times New Roman"/>
          <w:sz w:val="24"/>
        </w:rPr>
        <w:tab/>
      </w:r>
      <w:r>
        <w:rPr>
          <w:rFonts w:ascii="Times New Roman" w:hAnsi="Times New Roman" w:eastAsia="Times New Roman" w:cs="Times New Roman"/>
          <w:b/>
          <w:i w:val="0"/>
          <w:sz w:val="24"/>
        </w:rPr>
        <w:t>All Schedules K-1 issued for 2023, 2024, and 2025</w:t>
      </w:r>
      <w:r>
        <w:rPr>
          <w:rFonts w:ascii="Times New Roman" w:hAnsi="Times New Roman" w:eastAsia="Times New Roman" w:cs="Times New Roman"/>
          <w:b w:val="0"/>
          <w:i w:val="0"/>
          <w:sz w:val="24"/>
        </w:rPr>
        <w:t>, together with a list of the recipients each year.</w:t>
      </w:r>
    </w:p>
    <w:p>
      <w:pPr>
        <w:tabs>
          <w:tab w:pos="576" w:val="left"/>
        </w:tabs>
        <w:spacing w:after="160" w:line="240" w:lineRule="auto"/>
        <w:ind w:left="576" w:hanging="576"/>
        <w:jc w:val="both"/>
      </w:pPr>
      <w:r>
        <w:rPr>
          <w:rFonts w:ascii="Times New Roman" w:hAnsi="Times New Roman" w:eastAsia="Times New Roman" w:cs="Times New Roman"/>
          <w:b/>
          <w:sz w:val="24"/>
        </w:rPr>
        <w:t>3.</w:t>
      </w:r>
      <w:r>
        <w:rPr>
          <w:rFonts w:ascii="Times New Roman" w:hAnsi="Times New Roman" w:eastAsia="Times New Roman" w:cs="Times New Roman"/>
          <w:sz w:val="24"/>
        </w:rPr>
        <w:tab/>
      </w:r>
      <w:r>
        <w:rPr>
          <w:rFonts w:ascii="Times New Roman" w:hAnsi="Times New Roman" w:eastAsia="Times New Roman" w:cs="Times New Roman"/>
          <w:b w:val="0"/>
          <w:i w:val="0"/>
          <w:sz w:val="24"/>
        </w:rPr>
        <w:t xml:space="preserve">Any </w:t>
      </w:r>
      <w:r>
        <w:rPr>
          <w:rFonts w:ascii="Times New Roman" w:hAnsi="Times New Roman" w:eastAsia="Times New Roman" w:cs="Times New Roman"/>
          <w:b/>
          <w:i w:val="0"/>
          <w:sz w:val="24"/>
        </w:rPr>
        <w:t>Form 2553</w:t>
      </w:r>
      <w:r>
        <w:rPr>
          <w:rFonts w:ascii="Times New Roman" w:hAnsi="Times New Roman" w:eastAsia="Times New Roman" w:cs="Times New Roman"/>
          <w:b w:val="0"/>
          <w:i w:val="0"/>
          <w:sz w:val="24"/>
        </w:rPr>
        <w:t xml:space="preserve"> (S-corporation election), including all shareholder consent signatures; any IRS acceptance notice (</w:t>
      </w:r>
      <w:r>
        <w:rPr>
          <w:rFonts w:ascii="Times New Roman" w:hAnsi="Times New Roman" w:eastAsia="Times New Roman" w:cs="Times New Roman"/>
          <w:b/>
          <w:i w:val="0"/>
          <w:sz w:val="24"/>
        </w:rPr>
        <w:t>CP261</w:t>
      </w:r>
      <w:r>
        <w:rPr>
          <w:rFonts w:ascii="Times New Roman" w:hAnsi="Times New Roman" w:eastAsia="Times New Roman" w:cs="Times New Roman"/>
          <w:b w:val="0"/>
          <w:i w:val="0"/>
          <w:sz w:val="24"/>
        </w:rPr>
        <w:t xml:space="preserve">); any </w:t>
      </w:r>
      <w:r>
        <w:rPr>
          <w:rFonts w:ascii="Times New Roman" w:hAnsi="Times New Roman" w:eastAsia="Times New Roman" w:cs="Times New Roman"/>
          <w:b/>
          <w:i w:val="0"/>
          <w:sz w:val="24"/>
        </w:rPr>
        <w:t>Form 8832</w:t>
      </w:r>
      <w:r>
        <w:rPr>
          <w:rFonts w:ascii="Times New Roman" w:hAnsi="Times New Roman" w:eastAsia="Times New Roman" w:cs="Times New Roman"/>
          <w:b w:val="0"/>
          <w:i w:val="0"/>
          <w:sz w:val="24"/>
        </w:rPr>
        <w:t xml:space="preserve">; and any IRS correspondence concerning the Company’s entity classification. </w:t>
      </w:r>
      <w:r>
        <w:rPr>
          <w:rFonts w:ascii="Times New Roman" w:hAnsi="Times New Roman" w:eastAsia="Times New Roman" w:cs="Times New Roman"/>
          <w:b/>
          <w:i w:val="0"/>
          <w:sz w:val="24"/>
        </w:rPr>
        <w:t>If no such election exists, please say so in writing</w:t>
      </w:r>
      <w:r>
        <w:rPr>
          <w:rFonts w:ascii="Times New Roman" w:hAnsi="Times New Roman" w:eastAsia="Times New Roman" w:cs="Times New Roman"/>
          <w:b w:val="0"/>
          <w:i w:val="0"/>
          <w:sz w:val="24"/>
        </w:rPr>
        <w:t xml:space="preserve"> — a one-sentence answer fully satisfies this item.</w:t>
      </w:r>
    </w:p>
    <w:p>
      <w:pPr>
        <w:tabs>
          <w:tab w:pos="576" w:val="left"/>
        </w:tabs>
        <w:spacing w:after="160" w:line="240" w:lineRule="auto"/>
        <w:ind w:left="576" w:hanging="576"/>
        <w:jc w:val="both"/>
      </w:pPr>
      <w:r>
        <w:rPr>
          <w:rFonts w:ascii="Times New Roman" w:hAnsi="Times New Roman" w:eastAsia="Times New Roman" w:cs="Times New Roman"/>
          <w:b/>
          <w:sz w:val="24"/>
        </w:rPr>
        <w:t>4.</w:t>
      </w:r>
      <w:r>
        <w:rPr>
          <w:rFonts w:ascii="Times New Roman" w:hAnsi="Times New Roman" w:eastAsia="Times New Roman" w:cs="Times New Roman"/>
          <w:sz w:val="24"/>
        </w:rPr>
        <w:tab/>
      </w:r>
      <w:r>
        <w:rPr>
          <w:rFonts w:ascii="Times New Roman" w:hAnsi="Times New Roman" w:eastAsia="Times New Roman" w:cs="Times New Roman"/>
          <w:b w:val="0"/>
          <w:i w:val="0"/>
          <w:sz w:val="24"/>
        </w:rPr>
        <w:t>The name and contact information of the Company’s tax preparer, and your consent for us to ask the preparer questions about items 1–3.</w:t>
      </w:r>
    </w:p>
    <w:p>
      <w:pPr>
        <w:keepNext/>
        <w:spacing w:before="280" w:after="140"/>
        <w:jc w:val="left"/>
        <w:pBdr>
          <w:bottom w:val="single" w:sz="4" w:space="3" w:color="A6A6A6"/>
        </w:pBdr>
      </w:pPr>
      <w:r>
        <w:rPr>
          <w:rFonts w:ascii="Times New Roman" w:hAnsi="Times New Roman" w:eastAsia="Times New Roman" w:cs="Times New Roman"/>
          <w:b/>
          <w:i w:val="0"/>
          <w:sz w:val="24"/>
        </w:rPr>
        <w:t>SECTION B.  THE BASIS OF THE FINANCIAL REPORTS GIVEN TO MEMBERS</w:t>
      </w:r>
      <w:r>
        <w:rPr>
          <w:rFonts w:ascii="Times New Roman" w:hAnsi="Times New Roman" w:eastAsia="Times New Roman" w:cs="Times New Roman"/>
          <w:i/>
          <w:color w:val="404040"/>
          <w:sz w:val="21"/>
        </w:rPr>
        <w:t xml:space="preserve">   (within 10 business days)</w:t>
      </w:r>
    </w:p>
    <w:p>
      <w:pPr>
        <w:tabs>
          <w:tab w:pos="576" w:val="left"/>
        </w:tabs>
        <w:spacing w:after="160" w:line="240" w:lineRule="auto"/>
        <w:ind w:left="576" w:hanging="576"/>
        <w:jc w:val="both"/>
      </w:pPr>
      <w:r>
        <w:rPr>
          <w:rFonts w:ascii="Times New Roman" w:hAnsi="Times New Roman" w:eastAsia="Times New Roman" w:cs="Times New Roman"/>
          <w:b/>
          <w:sz w:val="24"/>
        </w:rPr>
        <w:t>5.</w:t>
      </w:r>
      <w:r>
        <w:rPr>
          <w:rFonts w:ascii="Times New Roman" w:hAnsi="Times New Roman" w:eastAsia="Times New Roman" w:cs="Times New Roman"/>
          <w:sz w:val="24"/>
        </w:rPr>
        <w:tab/>
      </w:r>
      <w:r>
        <w:rPr>
          <w:rFonts w:ascii="Times New Roman" w:hAnsi="Times New Roman" w:eastAsia="Times New Roman" w:cs="Times New Roman"/>
          <w:b w:val="0"/>
          <w:i w:val="0"/>
          <w:sz w:val="24"/>
        </w:rPr>
        <w:t xml:space="preserve">The </w:t>
      </w:r>
      <w:r>
        <w:rPr>
          <w:rFonts w:ascii="Times New Roman" w:hAnsi="Times New Roman" w:eastAsia="Times New Roman" w:cs="Times New Roman"/>
          <w:b/>
          <w:i w:val="0"/>
          <w:sz w:val="24"/>
        </w:rPr>
        <w:t>“Finaloop accrual books (December 2025 management report)”</w:t>
      </w:r>
      <w:r>
        <w:rPr>
          <w:rFonts w:ascii="Times New Roman" w:hAnsi="Times New Roman" w:eastAsia="Times New Roman" w:cs="Times New Roman"/>
          <w:b w:val="0"/>
          <w:i w:val="0"/>
          <w:sz w:val="24"/>
        </w:rPr>
        <w:t xml:space="preserve"> cited in the July 22 State of the Business as the source of its 2024/2025 figures.</w:t>
      </w:r>
    </w:p>
    <w:p>
      <w:pPr>
        <w:tabs>
          <w:tab w:pos="576" w:val="left"/>
        </w:tabs>
        <w:spacing w:after="160" w:line="240" w:lineRule="auto"/>
        <w:ind w:left="576" w:hanging="576"/>
        <w:jc w:val="both"/>
      </w:pPr>
      <w:r>
        <w:rPr>
          <w:rFonts w:ascii="Times New Roman" w:hAnsi="Times New Roman" w:eastAsia="Times New Roman" w:cs="Times New Roman"/>
          <w:b/>
          <w:sz w:val="24"/>
        </w:rPr>
        <w:t>6.</w:t>
      </w:r>
      <w:r>
        <w:rPr>
          <w:rFonts w:ascii="Times New Roman" w:hAnsi="Times New Roman" w:eastAsia="Times New Roman" w:cs="Times New Roman"/>
          <w:sz w:val="24"/>
        </w:rPr>
        <w:tab/>
      </w:r>
      <w:r>
        <w:rPr>
          <w:rFonts w:ascii="Times New Roman" w:hAnsi="Times New Roman" w:eastAsia="Times New Roman" w:cs="Times New Roman"/>
          <w:b w:val="0"/>
          <w:i w:val="0"/>
          <w:sz w:val="24"/>
        </w:rPr>
        <w:t xml:space="preserve">The </w:t>
      </w:r>
      <w:r>
        <w:rPr>
          <w:rFonts w:ascii="Times New Roman" w:hAnsi="Times New Roman" w:eastAsia="Times New Roman" w:cs="Times New Roman"/>
          <w:b/>
          <w:i w:val="0"/>
          <w:sz w:val="24"/>
        </w:rPr>
        <w:t>QuickBooks-to-Finaloop migration and opening-balance workpapers</w:t>
      </w:r>
      <w:r>
        <w:rPr>
          <w:rFonts w:ascii="Times New Roman" w:hAnsi="Times New Roman" w:eastAsia="Times New Roman" w:cs="Times New Roman"/>
          <w:b w:val="0"/>
          <w:i w:val="0"/>
          <w:sz w:val="24"/>
        </w:rPr>
        <w:t>, including the treatment of the owner accounts (“Due from Jer” $75,440.62; “Due to Jeremiah” $88,082.47; “Jer’s Draw” $5,330.80; the $157,115.47 opening adjustment) and the support for journal entry AJE-547 (the file “Jer Wages Accrual - $69033.pdf” already attached in QuickBooks satisfies this).</w:t>
      </w:r>
    </w:p>
    <w:p>
      <w:pPr>
        <w:tabs>
          <w:tab w:pos="576" w:val="left"/>
        </w:tabs>
        <w:spacing w:after="160" w:line="240" w:lineRule="auto"/>
        <w:ind w:left="576" w:hanging="576"/>
        <w:jc w:val="both"/>
      </w:pPr>
      <w:r>
        <w:rPr>
          <w:rFonts w:ascii="Times New Roman" w:hAnsi="Times New Roman" w:eastAsia="Times New Roman" w:cs="Times New Roman"/>
          <w:b/>
          <w:sz w:val="24"/>
        </w:rPr>
        <w:t>7.</w:t>
      </w:r>
      <w:r>
        <w:rPr>
          <w:rFonts w:ascii="Times New Roman" w:hAnsi="Times New Roman" w:eastAsia="Times New Roman" w:cs="Times New Roman"/>
          <w:sz w:val="24"/>
        </w:rPr>
        <w:tab/>
      </w:r>
      <w:r>
        <w:rPr>
          <w:rFonts w:ascii="Times New Roman" w:hAnsi="Times New Roman" w:eastAsia="Times New Roman" w:cs="Times New Roman"/>
          <w:b/>
          <w:i w:val="0"/>
          <w:sz w:val="24"/>
        </w:rPr>
        <w:t>Ongoing read-only member access to Finaloop</w:t>
      </w:r>
      <w:r>
        <w:rPr>
          <w:rFonts w:ascii="Times New Roman" w:hAnsi="Times New Roman" w:eastAsia="Times New Roman" w:cs="Times New Roman"/>
          <w:b w:val="0"/>
          <w:i w:val="0"/>
          <w:sz w:val="24"/>
        </w:rPr>
        <w:t xml:space="preserve"> (or, if you prefer, monthly general-ledger and trial-balance exports from January 2026 forward). We already hold QuickBooks access; this simply restores the same visibility on the system the Company now runs on.</w:t>
      </w:r>
    </w:p>
    <w:p>
      <w:pPr>
        <w:keepNext/>
        <w:spacing w:before="280" w:after="140"/>
        <w:jc w:val="left"/>
        <w:pBdr>
          <w:bottom w:val="single" w:sz="4" w:space="3" w:color="A6A6A6"/>
        </w:pBdr>
      </w:pPr>
      <w:r>
        <w:rPr>
          <w:rFonts w:ascii="Times New Roman" w:hAnsi="Times New Roman" w:eastAsia="Times New Roman" w:cs="Times New Roman"/>
          <w:b/>
          <w:i w:val="0"/>
          <w:sz w:val="24"/>
        </w:rPr>
        <w:t>SECTION C.  BANKING</w:t>
      </w:r>
      <w:r>
        <w:rPr>
          <w:rFonts w:ascii="Times New Roman" w:hAnsi="Times New Roman" w:eastAsia="Times New Roman" w:cs="Times New Roman"/>
          <w:i/>
          <w:color w:val="404040"/>
          <w:sz w:val="21"/>
        </w:rPr>
        <w:t xml:space="preserve">   (within 10 business days)</w:t>
      </w:r>
    </w:p>
    <w:p>
      <w:pPr>
        <w:tabs>
          <w:tab w:pos="576" w:val="left"/>
        </w:tabs>
        <w:spacing w:after="160" w:line="240" w:lineRule="auto"/>
        <w:ind w:left="576" w:hanging="576"/>
        <w:jc w:val="both"/>
      </w:pPr>
      <w:r>
        <w:rPr>
          <w:rFonts w:ascii="Times New Roman" w:hAnsi="Times New Roman" w:eastAsia="Times New Roman" w:cs="Times New Roman"/>
          <w:b/>
          <w:sz w:val="24"/>
        </w:rPr>
        <w:t>8.</w:t>
      </w:r>
      <w:r>
        <w:rPr>
          <w:rFonts w:ascii="Times New Roman" w:hAnsi="Times New Roman" w:eastAsia="Times New Roman" w:cs="Times New Roman"/>
          <w:sz w:val="24"/>
        </w:rPr>
        <w:tab/>
      </w:r>
      <w:r>
        <w:rPr>
          <w:rFonts w:ascii="Times New Roman" w:hAnsi="Times New Roman" w:eastAsia="Times New Roman" w:cs="Times New Roman"/>
          <w:b w:val="0"/>
          <w:i w:val="0"/>
          <w:sz w:val="24"/>
        </w:rPr>
        <w:t xml:space="preserve">Monthly </w:t>
      </w:r>
      <w:r>
        <w:rPr>
          <w:rFonts w:ascii="Times New Roman" w:hAnsi="Times New Roman" w:eastAsia="Times New Roman" w:cs="Times New Roman"/>
          <w:b/>
          <w:i w:val="0"/>
          <w:sz w:val="24"/>
        </w:rPr>
        <w:t>statements for all Company bank and payment accounts</w:t>
      </w:r>
      <w:r>
        <w:rPr>
          <w:rFonts w:ascii="Times New Roman" w:hAnsi="Times New Roman" w:eastAsia="Times New Roman" w:cs="Times New Roman"/>
          <w:b w:val="0"/>
          <w:i w:val="0"/>
          <w:sz w:val="24"/>
        </w:rPr>
        <w:t xml:space="preserve"> — Found (including all pockets/sub-accounts), any Chase accounts, and PayPal — from January 2025 to present. Read-only portal access is an acceptable substitute.</w:t>
      </w:r>
    </w:p>
    <w:p>
      <w:pPr>
        <w:keepNext/>
        <w:spacing w:before="280" w:after="140"/>
        <w:jc w:val="left"/>
        <w:pBdr>
          <w:bottom w:val="single" w:sz="4" w:space="3" w:color="A6A6A6"/>
        </w:pBdr>
      </w:pPr>
      <w:r>
        <w:rPr>
          <w:rFonts w:ascii="Times New Roman" w:hAnsi="Times New Roman" w:eastAsia="Times New Roman" w:cs="Times New Roman"/>
          <w:b/>
          <w:i w:val="0"/>
          <w:sz w:val="24"/>
        </w:rPr>
        <w:t>SECTION D.  OWNER TRANSACTIONS, CREDITORS, AND OWNERSHIP RECORDS</w:t>
      </w:r>
      <w:r>
        <w:rPr>
          <w:rFonts w:ascii="Times New Roman" w:hAnsi="Times New Roman" w:eastAsia="Times New Roman" w:cs="Times New Roman"/>
          <w:i/>
          <w:color w:val="404040"/>
          <w:sz w:val="21"/>
        </w:rPr>
        <w:t xml:space="preserve">   (within 20 business days)</w:t>
      </w:r>
    </w:p>
    <w:p>
      <w:pPr>
        <w:tabs>
          <w:tab w:pos="576" w:val="left"/>
        </w:tabs>
        <w:spacing w:after="160" w:line="240" w:lineRule="auto"/>
        <w:ind w:left="576" w:hanging="576"/>
        <w:jc w:val="both"/>
      </w:pPr>
      <w:r>
        <w:rPr>
          <w:rFonts w:ascii="Times New Roman" w:hAnsi="Times New Roman" w:eastAsia="Times New Roman" w:cs="Times New Roman"/>
          <w:b/>
          <w:sz w:val="24"/>
        </w:rPr>
        <w:t>9.</w:t>
      </w:r>
      <w:r>
        <w:rPr>
          <w:rFonts w:ascii="Times New Roman" w:hAnsi="Times New Roman" w:eastAsia="Times New Roman" w:cs="Times New Roman"/>
          <w:sz w:val="24"/>
        </w:rPr>
        <w:tab/>
      </w:r>
      <w:r>
        <w:rPr>
          <w:rFonts w:ascii="Times New Roman" w:hAnsi="Times New Roman" w:eastAsia="Times New Roman" w:cs="Times New Roman"/>
          <w:b w:val="0"/>
          <w:i w:val="0"/>
          <w:sz w:val="24"/>
        </w:rPr>
        <w:t xml:space="preserve">All </w:t>
      </w:r>
      <w:r>
        <w:rPr>
          <w:rFonts w:ascii="Times New Roman" w:hAnsi="Times New Roman" w:eastAsia="Times New Roman" w:cs="Times New Roman"/>
          <w:b/>
          <w:i w:val="0"/>
          <w:sz w:val="24"/>
        </w:rPr>
        <w:t>expense reports, receipts, and supporting documentation in the Company’s possession</w:t>
      </w:r>
      <w:r>
        <w:rPr>
          <w:rFonts w:ascii="Times New Roman" w:hAnsi="Times New Roman" w:eastAsia="Times New Roman" w:cs="Times New Roman"/>
          <w:b w:val="0"/>
          <w:i w:val="0"/>
          <w:sz w:val="24"/>
        </w:rPr>
        <w:t xml:space="preserve"> for (a) the amounts booked as “Reimbursements to owners” from January 2025 to present, and (b) the 2026 amounts booked as “Distributions – Jeremiah Tallerine,” together with the §3.2 basis for those distributions. </w:t>
      </w:r>
      <w:r>
        <w:rPr>
          <w:rFonts w:ascii="Times New Roman" w:hAnsi="Times New Roman" w:eastAsia="Times New Roman" w:cs="Times New Roman"/>
          <w:b w:val="0"/>
          <w:i/>
          <w:sz w:val="24"/>
        </w:rPr>
        <w:t>(We ask only for what the Company already holds. To the extent reimbursed amounts are not substantiated in Company records, we ask that you either provide substantiation voluntarily — e.g., the relevant card statements — or confirm the amounts should be treated as draws.)</w:t>
      </w:r>
    </w:p>
    <w:p>
      <w:pPr>
        <w:tabs>
          <w:tab w:pos="576" w:val="left"/>
        </w:tabs>
        <w:spacing w:after="160" w:line="240" w:lineRule="auto"/>
        <w:ind w:left="576" w:hanging="576"/>
        <w:jc w:val="both"/>
      </w:pPr>
      <w:r>
        <w:rPr>
          <w:rFonts w:ascii="Times New Roman" w:hAnsi="Times New Roman" w:eastAsia="Times New Roman" w:cs="Times New Roman"/>
          <w:b/>
          <w:sz w:val="24"/>
        </w:rPr>
        <w:t>10.</w:t>
      </w:r>
      <w:r>
        <w:rPr>
          <w:rFonts w:ascii="Times New Roman" w:hAnsi="Times New Roman" w:eastAsia="Times New Roman" w:cs="Times New Roman"/>
          <w:sz w:val="24"/>
        </w:rPr>
        <w:tab/>
      </w:r>
      <w:r>
        <w:rPr>
          <w:rFonts w:ascii="Times New Roman" w:hAnsi="Times New Roman" w:eastAsia="Times New Roman" w:cs="Times New Roman"/>
          <w:b w:val="0"/>
          <w:i w:val="0"/>
          <w:sz w:val="24"/>
        </w:rPr>
        <w:t xml:space="preserve">The </w:t>
      </w:r>
      <w:r>
        <w:rPr>
          <w:rFonts w:ascii="Times New Roman" w:hAnsi="Times New Roman" w:eastAsia="Times New Roman" w:cs="Times New Roman"/>
          <w:b/>
          <w:i w:val="0"/>
          <w:sz w:val="24"/>
        </w:rPr>
        <w:t>written creditor arrangements</w:t>
      </w:r>
      <w:r>
        <w:rPr>
          <w:rFonts w:ascii="Times New Roman" w:hAnsi="Times New Roman" w:eastAsia="Times New Roman" w:cs="Times New Roman"/>
          <w:b w:val="0"/>
          <w:i w:val="0"/>
          <w:sz w:val="24"/>
        </w:rPr>
        <w:t xml:space="preserve"> referenced in the August 24 briefing’s statement that “every creditor is now on a written, scheduled arrangement”: the SBG payoff agreement, the Endorphin Farms arrangement, the Anthony Tallerine loan and repayment terms, the OnDeck restructure, the landlord rent rider, and the SBA hardship-plan approval — whichever of these exist in writing.</w:t>
      </w:r>
    </w:p>
    <w:p>
      <w:pPr>
        <w:tabs>
          <w:tab w:pos="576" w:val="left"/>
        </w:tabs>
        <w:spacing w:after="160" w:line="240" w:lineRule="auto"/>
        <w:ind w:left="576" w:hanging="576"/>
        <w:jc w:val="both"/>
      </w:pPr>
      <w:r>
        <w:rPr>
          <w:rFonts w:ascii="Times New Roman" w:hAnsi="Times New Roman" w:eastAsia="Times New Roman" w:cs="Times New Roman"/>
          <w:b/>
          <w:sz w:val="24"/>
        </w:rPr>
        <w:t>11.</w:t>
      </w:r>
      <w:r>
        <w:rPr>
          <w:rFonts w:ascii="Times New Roman" w:hAnsi="Times New Roman" w:eastAsia="Times New Roman" w:cs="Times New Roman"/>
          <w:sz w:val="24"/>
        </w:rPr>
        <w:tab/>
      </w:r>
      <w:r>
        <w:rPr>
          <w:rFonts w:ascii="Times New Roman" w:hAnsi="Times New Roman" w:eastAsia="Times New Roman" w:cs="Times New Roman"/>
          <w:b w:val="0"/>
          <w:i w:val="0"/>
          <w:sz w:val="24"/>
        </w:rPr>
        <w:t xml:space="preserve">The </w:t>
      </w:r>
      <w:r>
        <w:rPr>
          <w:rFonts w:ascii="Times New Roman" w:hAnsi="Times New Roman" w:eastAsia="Times New Roman" w:cs="Times New Roman"/>
          <w:b/>
          <w:i w:val="0"/>
          <w:sz w:val="24"/>
        </w:rPr>
        <w:t>investor loan documents</w:t>
      </w:r>
      <w:r>
        <w:rPr>
          <w:rFonts w:ascii="Times New Roman" w:hAnsi="Times New Roman" w:eastAsia="Times New Roman" w:cs="Times New Roman"/>
          <w:b w:val="0"/>
          <w:i w:val="0"/>
          <w:sz w:val="24"/>
        </w:rPr>
        <w:t xml:space="preserve">: the Nguyen loan note or agreement (including its interest terms), any Company documentation of the </w:t>
      </w:r>
      <w:r>
        <w:rPr>
          <w:rFonts w:ascii="Times New Roman" w:hAnsi="Times New Roman" w:eastAsia="Times New Roman" w:cs="Times New Roman"/>
          <w:b/>
          <w:i w:val="0"/>
          <w:sz w:val="24"/>
        </w:rPr>
        <w:t>personal loan from Blake Benthall</w:t>
      </w:r>
      <w:r>
        <w:rPr>
          <w:rFonts w:ascii="Times New Roman" w:hAnsi="Times New Roman" w:eastAsia="Times New Roman" w:cs="Times New Roman"/>
          <w:b w:val="0"/>
          <w:i w:val="0"/>
          <w:sz w:val="24"/>
        </w:rPr>
        <w:t xml:space="preserve"> ($7,500 advanced, agreed to be repaid as </w:t>
      </w:r>
      <w:r>
        <w:rPr>
          <w:rFonts w:ascii="Times New Roman" w:hAnsi="Times New Roman" w:eastAsia="Times New Roman" w:cs="Times New Roman"/>
          <w:b/>
          <w:i w:val="0"/>
          <w:sz w:val="24"/>
        </w:rPr>
        <w:t>$8,500 within one month</w:t>
      </w:r>
      <w:r>
        <w:rPr>
          <w:rFonts w:ascii="Times New Roman" w:hAnsi="Times New Roman" w:eastAsia="Times New Roman" w:cs="Times New Roman"/>
          <w:b w:val="0"/>
          <w:i w:val="0"/>
          <w:sz w:val="24"/>
        </w:rPr>
        <w:t xml:space="preserve"> — note this loan does not appear as a liability in either QuickBooks or Finaloop, and the investor debt schedules carry it at $7,500 rather than the agreed $8,500), and the proposed </w:t>
      </w:r>
      <w:r>
        <w:rPr>
          <w:rFonts w:ascii="Times New Roman" w:hAnsi="Times New Roman" w:eastAsia="Times New Roman" w:cs="Times New Roman"/>
          <w:b/>
          <w:i w:val="0"/>
          <w:sz w:val="24"/>
        </w:rPr>
        <w:t>deferral agreements</w:t>
      </w:r>
      <w:r>
        <w:rPr>
          <w:rFonts w:ascii="Times New Roman" w:hAnsi="Times New Roman" w:eastAsia="Times New Roman" w:cs="Times New Roman"/>
          <w:b w:val="0"/>
          <w:i w:val="0"/>
          <w:sz w:val="24"/>
        </w:rPr>
        <w:t xml:space="preserve"> for both, in writing, for our review and signature.</w:t>
      </w:r>
    </w:p>
    <w:p>
      <w:pPr>
        <w:tabs>
          <w:tab w:pos="576" w:val="left"/>
        </w:tabs>
        <w:spacing w:after="160" w:line="240" w:lineRule="auto"/>
        <w:ind w:left="576" w:hanging="576"/>
        <w:jc w:val="both"/>
      </w:pPr>
      <w:r>
        <w:rPr>
          <w:rFonts w:ascii="Times New Roman" w:hAnsi="Times New Roman" w:eastAsia="Times New Roman" w:cs="Times New Roman"/>
          <w:b/>
          <w:sz w:val="24"/>
        </w:rPr>
        <w:t>12.</w:t>
      </w:r>
      <w:r>
        <w:rPr>
          <w:rFonts w:ascii="Times New Roman" w:hAnsi="Times New Roman" w:eastAsia="Times New Roman" w:cs="Times New Roman"/>
          <w:sz w:val="24"/>
        </w:rPr>
        <w:tab/>
      </w:r>
      <w:r>
        <w:rPr>
          <w:rFonts w:ascii="Times New Roman" w:hAnsi="Times New Roman" w:eastAsia="Times New Roman" w:cs="Times New Roman"/>
          <w:b w:val="0"/>
          <w:i w:val="0"/>
          <w:sz w:val="24"/>
        </w:rPr>
        <w:t xml:space="preserve">The </w:t>
      </w:r>
      <w:r>
        <w:rPr>
          <w:rFonts w:ascii="Times New Roman" w:hAnsi="Times New Roman" w:eastAsia="Times New Roman" w:cs="Times New Roman"/>
          <w:b/>
          <w:i w:val="0"/>
          <w:sz w:val="24"/>
        </w:rPr>
        <w:t>current member ledger / capitalization table</w:t>
      </w:r>
      <w:r>
        <w:rPr>
          <w:rFonts w:ascii="Times New Roman" w:hAnsi="Times New Roman" w:eastAsia="Times New Roman" w:cs="Times New Roman"/>
          <w:b w:val="0"/>
          <w:i w:val="0"/>
          <w:sz w:val="24"/>
        </w:rPr>
        <w:t xml:space="preserve">, and all </w:t>
      </w:r>
      <w:r>
        <w:rPr>
          <w:rFonts w:ascii="Times New Roman" w:hAnsi="Times New Roman" w:eastAsia="Times New Roman" w:cs="Times New Roman"/>
          <w:b/>
          <w:i w:val="0"/>
          <w:sz w:val="24"/>
        </w:rPr>
        <w:t>written member consents</w:t>
      </w:r>
      <w:r>
        <w:rPr>
          <w:rFonts w:ascii="Times New Roman" w:hAnsi="Times New Roman" w:eastAsia="Times New Roman" w:cs="Times New Roman"/>
          <w:b w:val="0"/>
          <w:i w:val="0"/>
          <w:sz w:val="24"/>
        </w:rPr>
        <w:t xml:space="preserve"> obtained for the admission of members under Operating Agreement §1.9 (including for Comatri, Inc. and Mark Clark), together with any document purporting to transfer, redeem, or retitle any member’s interest.</w:t>
      </w:r>
    </w:p>
    <w:p>
      <w:pPr>
        <w:tabs>
          <w:tab w:pos="576" w:val="left"/>
        </w:tabs>
        <w:spacing w:after="160" w:line="240" w:lineRule="auto"/>
        <w:ind w:left="576" w:hanging="576"/>
        <w:jc w:val="both"/>
      </w:pPr>
      <w:r>
        <w:rPr>
          <w:rFonts w:ascii="Times New Roman" w:hAnsi="Times New Roman" w:eastAsia="Times New Roman" w:cs="Times New Roman"/>
          <w:b/>
          <w:sz w:val="24"/>
        </w:rPr>
        <w:t>13.</w:t>
      </w:r>
      <w:r>
        <w:rPr>
          <w:rFonts w:ascii="Times New Roman" w:hAnsi="Times New Roman" w:eastAsia="Times New Roman" w:cs="Times New Roman"/>
          <w:sz w:val="24"/>
        </w:rPr>
        <w:tab/>
      </w:r>
      <w:r>
        <w:rPr>
          <w:rFonts w:ascii="Times New Roman" w:hAnsi="Times New Roman" w:eastAsia="Times New Roman" w:cs="Times New Roman"/>
          <w:b w:val="0"/>
          <w:i w:val="0"/>
          <w:sz w:val="24"/>
        </w:rPr>
        <w:t xml:space="preserve">The complete documentation of the </w:t>
      </w:r>
      <w:r>
        <w:rPr>
          <w:rFonts w:ascii="Times New Roman" w:hAnsi="Times New Roman" w:eastAsia="Times New Roman" w:cs="Times New Roman"/>
          <w:b/>
          <w:i w:val="0"/>
          <w:sz w:val="24"/>
        </w:rPr>
        <w:t>Anthony Tallerine line of credit ($69,440)</w:t>
      </w:r>
      <w:r>
        <w:rPr>
          <w:rFonts w:ascii="Times New Roman" w:hAnsi="Times New Roman" w:eastAsia="Times New Roman" w:cs="Times New Roman"/>
          <w:b w:val="0"/>
          <w:i w:val="0"/>
          <w:sz w:val="24"/>
        </w:rPr>
        <w:t>: the original loan or line-of-credit agreement and advance history, and — because the July 22 State of the Business describes this obligation as “</w:t>
      </w:r>
      <w:r>
        <w:rPr>
          <w:rFonts w:ascii="Times New Roman" w:hAnsi="Times New Roman" w:eastAsia="Times New Roman" w:cs="Times New Roman"/>
          <w:b/>
          <w:i w:val="0"/>
          <w:sz w:val="24"/>
        </w:rPr>
        <w:t>Forgiven</w:t>
      </w:r>
      <w:r>
        <w:rPr>
          <w:rFonts w:ascii="Times New Roman" w:hAnsi="Times New Roman" w:eastAsia="Times New Roman" w:cs="Times New Roman"/>
          <w:b w:val="0"/>
          <w:i w:val="0"/>
          <w:sz w:val="24"/>
        </w:rPr>
        <w:t xml:space="preserve">” while it remains recorded as a liability on the Company’s books — </w:t>
      </w:r>
      <w:r>
        <w:rPr>
          <w:rFonts w:ascii="Times New Roman" w:hAnsi="Times New Roman" w:eastAsia="Times New Roman" w:cs="Times New Roman"/>
          <w:b/>
          <w:i w:val="0"/>
          <w:sz w:val="24"/>
        </w:rPr>
        <w:t>any written forgiveness, release, or gift instrument</w:t>
      </w:r>
      <w:r>
        <w:rPr>
          <w:rFonts w:ascii="Times New Roman" w:hAnsi="Times New Roman" w:eastAsia="Times New Roman" w:cs="Times New Roman"/>
          <w:b w:val="0"/>
          <w:i w:val="0"/>
          <w:sz w:val="24"/>
        </w:rPr>
        <w:t>, together with the accounting and tax treatment applied to it (a forgiven debt ordinarily produces cancellation-of-indebtedness income to the Company, which flows through to the members’ K-1s). If no forgiveness writing exists, please say so; see also confirmation E3 below.</w:t>
      </w:r>
    </w:p>
    <w:p>
      <w:pPr>
        <w:keepNext/>
        <w:spacing w:before="280" w:after="140"/>
        <w:jc w:val="left"/>
        <w:pBdr>
          <w:bottom w:val="single" w:sz="4" w:space="3" w:color="A6A6A6"/>
        </w:pBdr>
      </w:pPr>
      <w:r>
        <w:rPr>
          <w:rFonts w:ascii="Times New Roman" w:hAnsi="Times New Roman" w:eastAsia="Times New Roman" w:cs="Times New Roman"/>
          <w:b/>
          <w:i w:val="0"/>
          <w:sz w:val="24"/>
        </w:rPr>
        <w:t>SECTION E.  BRIEF WRITTEN CONFIRMATIONS</w:t>
      </w:r>
      <w:r>
        <w:rPr>
          <w:rFonts w:ascii="Times New Roman" w:hAnsi="Times New Roman" w:eastAsia="Times New Roman" w:cs="Times New Roman"/>
          <w:i/>
          <w:color w:val="404040"/>
          <w:sz w:val="21"/>
        </w:rPr>
        <w:t xml:space="preserve">   (within 10 business days)</w:t>
      </w:r>
    </w:p>
    <w:p>
      <w:pPr>
        <w:keepNext w:val="0"/>
        <w:widowControl/>
        <w:spacing w:before="0" w:after="160" w:line="240" w:lineRule="auto"/>
        <w:ind w:left="0"/>
        <w:jc w:val="both"/>
      </w:pPr>
      <w:r>
        <w:rPr>
          <w:rFonts w:ascii="Times New Roman" w:hAnsi="Times New Roman" w:eastAsia="Times New Roman" w:cs="Times New Roman"/>
          <w:b w:val="0"/>
          <w:i w:val="0"/>
          <w:sz w:val="24"/>
        </w:rPr>
        <w:t>So that the record is clear, we ask that you confirm the following in a short signed statement — each is one sentence, and “none exists” is an acceptable answer where true:</w:t>
      </w:r>
    </w:p>
    <w:p>
      <w:pPr>
        <w:tabs>
          <w:tab w:pos="792" w:val="left"/>
        </w:tabs>
        <w:spacing w:after="160" w:line="240" w:lineRule="auto"/>
        <w:ind w:left="792" w:hanging="792"/>
        <w:jc w:val="both"/>
      </w:pPr>
      <w:r>
        <w:rPr>
          <w:rFonts w:ascii="Times New Roman" w:hAnsi="Times New Roman" w:eastAsia="Times New Roman" w:cs="Times New Roman"/>
          <w:b/>
          <w:sz w:val="24"/>
        </w:rPr>
        <w:t>E1.</w:t>
      </w:r>
      <w:r>
        <w:rPr>
          <w:rFonts w:ascii="Times New Roman" w:hAnsi="Times New Roman" w:eastAsia="Times New Roman" w:cs="Times New Roman"/>
          <w:sz w:val="24"/>
        </w:rPr>
        <w:tab/>
      </w:r>
      <w:r>
        <w:rPr>
          <w:rFonts w:ascii="Times New Roman" w:hAnsi="Times New Roman" w:eastAsia="Times New Roman" w:cs="Times New Roman"/>
          <w:b w:val="0"/>
          <w:i w:val="0"/>
          <w:sz w:val="24"/>
        </w:rPr>
        <w:t>A list of each version of the July 2026 “State of the Business” document that was distributed, and to whom.</w:t>
      </w:r>
    </w:p>
    <w:p>
      <w:pPr>
        <w:tabs>
          <w:tab w:pos="792" w:val="left"/>
        </w:tabs>
        <w:spacing w:after="160" w:line="240" w:lineRule="auto"/>
        <w:ind w:left="792" w:hanging="792"/>
        <w:jc w:val="both"/>
      </w:pPr>
      <w:r>
        <w:rPr>
          <w:rFonts w:ascii="Times New Roman" w:hAnsi="Times New Roman" w:eastAsia="Times New Roman" w:cs="Times New Roman"/>
          <w:b/>
          <w:sz w:val="24"/>
        </w:rPr>
        <w:t>E2.</w:t>
      </w:r>
      <w:r>
        <w:rPr>
          <w:rFonts w:ascii="Times New Roman" w:hAnsi="Times New Roman" w:eastAsia="Times New Roman" w:cs="Times New Roman"/>
          <w:sz w:val="24"/>
        </w:rPr>
        <w:tab/>
      </w:r>
      <w:r>
        <w:rPr>
          <w:rFonts w:ascii="Times New Roman" w:hAnsi="Times New Roman" w:eastAsia="Times New Roman" w:cs="Times New Roman"/>
          <w:b w:val="0"/>
          <w:i w:val="0"/>
          <w:sz w:val="24"/>
        </w:rPr>
        <w:t>Who received Schedules K-1 for tax year 2024, and under which form (1065 or 1120-S).</w:t>
      </w:r>
    </w:p>
    <w:p>
      <w:pPr>
        <w:tabs>
          <w:tab w:pos="792" w:val="left"/>
        </w:tabs>
        <w:spacing w:after="160" w:line="240" w:lineRule="auto"/>
        <w:ind w:left="792" w:hanging="792"/>
        <w:jc w:val="both"/>
      </w:pPr>
      <w:r>
        <w:rPr>
          <w:rFonts w:ascii="Times New Roman" w:hAnsi="Times New Roman" w:eastAsia="Times New Roman" w:cs="Times New Roman"/>
          <w:b/>
          <w:sz w:val="24"/>
        </w:rPr>
        <w:t>E3.</w:t>
      </w:r>
      <w:r>
        <w:rPr>
          <w:rFonts w:ascii="Times New Roman" w:hAnsi="Times New Roman" w:eastAsia="Times New Roman" w:cs="Times New Roman"/>
          <w:sz w:val="24"/>
        </w:rPr>
        <w:tab/>
      </w:r>
      <w:r>
        <w:rPr>
          <w:rFonts w:ascii="Times New Roman" w:hAnsi="Times New Roman" w:eastAsia="Times New Roman" w:cs="Times New Roman"/>
          <w:b w:val="0"/>
          <w:i w:val="0"/>
          <w:sz w:val="24"/>
        </w:rPr>
        <w:t>Whether the $69,440 Anthony Tallerine line of credit has been forgiven or remains an obligation of the Company (the underlying documents are item 13 above; this confirmation is the one-sentence answer).</w:t>
      </w:r>
    </w:p>
    <w:p>
      <w:pPr>
        <w:tabs>
          <w:tab w:pos="792" w:val="left"/>
        </w:tabs>
        <w:spacing w:after="160" w:line="240" w:lineRule="auto"/>
        <w:ind w:left="792" w:hanging="792"/>
        <w:jc w:val="both"/>
      </w:pPr>
      <w:r>
        <w:rPr>
          <w:rFonts w:ascii="Times New Roman" w:hAnsi="Times New Roman" w:eastAsia="Times New Roman" w:cs="Times New Roman"/>
          <w:b/>
          <w:sz w:val="24"/>
        </w:rPr>
        <w:t>E4.</w:t>
      </w:r>
      <w:r>
        <w:rPr>
          <w:rFonts w:ascii="Times New Roman" w:hAnsi="Times New Roman" w:eastAsia="Times New Roman" w:cs="Times New Roman"/>
          <w:sz w:val="24"/>
        </w:rPr>
        <w:tab/>
      </w:r>
      <w:r>
        <w:rPr>
          <w:rFonts w:ascii="Times New Roman" w:hAnsi="Times New Roman" w:eastAsia="Times New Roman" w:cs="Times New Roman"/>
          <w:b w:val="0"/>
          <w:i w:val="0"/>
          <w:sz w:val="24"/>
        </w:rPr>
        <w:t>The Company’s current statement of (a) amounts owed to you (accrued wages) and (b) amounts owed by you or drawn by you (owner receivable, draws, distributions), as of the most recent close.</w:t>
      </w:r>
    </w:p>
    <w:p>
      <w:pPr>
        <w:spacing w:before="200" w:after="240"/>
        <w:pBdr>
          <w:bottom w:val="single" w:sz="6" w:space="1" w:color="808080"/>
        </w:pBdr>
      </w:pPr>
    </w:p>
    <w:p>
      <w:pPr>
        <w:keepNext w:val="0"/>
        <w:widowControl/>
        <w:spacing w:before="0" w:after="160" w:line="240" w:lineRule="auto"/>
        <w:ind w:left="0"/>
        <w:jc w:val="both"/>
      </w:pPr>
      <w:r>
        <w:rPr>
          <w:rFonts w:ascii="Times New Roman" w:hAnsi="Times New Roman" w:eastAsia="Times New Roman" w:cs="Times New Roman"/>
          <w:b w:val="0"/>
          <w:i w:val="0"/>
          <w:sz w:val="24"/>
        </w:rPr>
        <w:t>We want to be straightforward about spirit: this is not litigation posturing. We remain supportive of the business and of you personally, and a complete, prompt response is the fastest way to resolve the questions the recent communications have raised and to let us make the decisions you have asked of us. If any item is unclear or genuinely burdensome, tell us and we will work out a practical alternative — but silence or partial production will force us to treat the open items formally.</w:t>
      </w:r>
    </w:p>
    <w:p>
      <w:pPr>
        <w:keepNext w:val="0"/>
        <w:widowControl/>
        <w:spacing w:before="0" w:after="320" w:line="240" w:lineRule="auto"/>
        <w:ind w:left="0"/>
        <w:jc w:val="both"/>
      </w:pPr>
      <w:r>
        <w:rPr>
          <w:rFonts w:ascii="Times New Roman" w:hAnsi="Times New Roman" w:eastAsia="Times New Roman" w:cs="Times New Roman"/>
          <w:b w:val="0"/>
          <w:i w:val="0"/>
          <w:sz w:val="24"/>
        </w:rPr>
        <w:t xml:space="preserve">We ask for the Section A, B, C, and E items within </w:t>
      </w:r>
      <w:r>
        <w:rPr>
          <w:rFonts w:ascii="Times New Roman" w:hAnsi="Times New Roman" w:eastAsia="Times New Roman" w:cs="Times New Roman"/>
          <w:b/>
          <w:i w:val="0"/>
          <w:sz w:val="24"/>
        </w:rPr>
        <w:t>ten (10) business days</w:t>
      </w:r>
      <w:r>
        <w:rPr>
          <w:rFonts w:ascii="Times New Roman" w:hAnsi="Times New Roman" w:eastAsia="Times New Roman" w:cs="Times New Roman"/>
          <w:b w:val="0"/>
          <w:i w:val="0"/>
          <w:sz w:val="24"/>
        </w:rPr>
        <w:t xml:space="preserve"> of this letter, and Section D within </w:t>
      </w:r>
      <w:r>
        <w:rPr>
          <w:rFonts w:ascii="Times New Roman" w:hAnsi="Times New Roman" w:eastAsia="Times New Roman" w:cs="Times New Roman"/>
          <w:b/>
          <w:i w:val="0"/>
          <w:sz w:val="24"/>
        </w:rPr>
        <w:t>twenty (20) business days</w:t>
      </w:r>
      <w:r>
        <w:rPr>
          <w:rFonts w:ascii="Times New Roman" w:hAnsi="Times New Roman" w:eastAsia="Times New Roman" w:cs="Times New Roman"/>
          <w:b w:val="0"/>
          <w:i w:val="0"/>
          <w:sz w:val="24"/>
        </w:rPr>
        <w:t>. All rights of Comatri, Inc. and Hugh &amp; Christy Nguyen under the Operating Agreement, the investment agreements, and applicable law are reserved.</w:t>
      </w:r>
    </w:p>
    <w:p>
      <w:pPr>
        <w:keepNext w:val="0"/>
        <w:widowControl/>
        <w:spacing w:before="0" w:after="120" w:line="240" w:lineRule="auto"/>
        <w:ind w:left="0"/>
        <w:jc w:val="left"/>
      </w:pPr>
      <w:r>
        <w:rPr>
          <w:rFonts w:ascii="Times New Roman" w:hAnsi="Times New Roman" w:eastAsia="Times New Roman" w:cs="Times New Roman"/>
          <w:b w:val="0"/>
          <w:i w:val="0"/>
          <w:sz w:val="24"/>
        </w:rPr>
        <w:t>Sincerely,</w:t>
      </w:r>
    </w:p>
    <w:p>
      <w:pPr>
        <w:spacing w:before="440" w:after="40"/>
        <w:jc w:val="left"/>
      </w:pPr>
      <w:r>
        <w:rPr>
          <w:rFonts w:ascii="Times New Roman" w:hAnsi="Times New Roman" w:eastAsia="Times New Roman" w:cs="Times New Roman"/>
          <w:sz w:val="24"/>
        </w:rPr>
        <w:t>________________________________________</w:t>
      </w:r>
    </w:p>
    <w:p>
      <w:pPr>
        <w:spacing w:after="20"/>
        <w:jc w:val="left"/>
      </w:pPr>
      <w:r>
        <w:rPr>
          <w:rFonts w:ascii="Times New Roman" w:hAnsi="Times New Roman" w:eastAsia="Times New Roman" w:cs="Times New Roman"/>
          <w:b/>
          <w:i w:val="0"/>
          <w:sz w:val="23"/>
        </w:rPr>
        <w:t>Comatri, Inc.</w:t>
      </w:r>
      <w:r>
        <w:rPr>
          <w:rFonts w:ascii="Times New Roman" w:hAnsi="Times New Roman" w:eastAsia="Times New Roman" w:cs="Times New Roman"/>
          <w:b w:val="0"/>
          <w:i w:val="0"/>
          <w:sz w:val="23"/>
        </w:rPr>
        <w:t>, Member</w:t>
      </w:r>
    </w:p>
    <w:p>
      <w:pPr>
        <w:spacing w:after="20"/>
        <w:jc w:val="left"/>
      </w:pPr>
      <w:r>
        <w:rPr>
          <w:rFonts w:ascii="Times New Roman" w:hAnsi="Times New Roman" w:eastAsia="Times New Roman" w:cs="Times New Roman"/>
          <w:b w:val="0"/>
          <w:i w:val="0"/>
          <w:sz w:val="23"/>
        </w:rPr>
        <w:t>By: Blake Benthall, [Title]</w:t>
      </w:r>
    </w:p>
    <w:p>
      <w:pPr>
        <w:spacing w:after="20"/>
        <w:jc w:val="left"/>
      </w:pPr>
      <w:r>
        <w:rPr>
          <w:rFonts w:ascii="Times New Roman" w:hAnsi="Times New Roman" w:eastAsia="Times New Roman" w:cs="Times New Roman"/>
          <w:b w:val="0"/>
          <w:i w:val="0"/>
          <w:sz w:val="23"/>
        </w:rPr>
        <w:t>Date: ______________________</w:t>
      </w:r>
    </w:p>
    <w:p>
      <w:pPr>
        <w:spacing w:before="440" w:after="40"/>
        <w:jc w:val="left"/>
      </w:pPr>
      <w:r>
        <w:rPr>
          <w:rFonts w:ascii="Times New Roman" w:hAnsi="Times New Roman" w:eastAsia="Times New Roman" w:cs="Times New Roman"/>
          <w:sz w:val="24"/>
        </w:rPr>
        <w:t>________________________________________</w:t>
      </w:r>
    </w:p>
    <w:p>
      <w:pPr>
        <w:spacing w:after="20"/>
        <w:jc w:val="left"/>
      </w:pPr>
      <w:r>
        <w:rPr>
          <w:rFonts w:ascii="Times New Roman" w:hAnsi="Times New Roman" w:eastAsia="Times New Roman" w:cs="Times New Roman"/>
          <w:b/>
          <w:i w:val="0"/>
          <w:sz w:val="23"/>
        </w:rPr>
        <w:t>Hugh Nguyen</w:t>
      </w:r>
      <w:r>
        <w:rPr>
          <w:rFonts w:ascii="Times New Roman" w:hAnsi="Times New Roman" w:eastAsia="Times New Roman" w:cs="Times New Roman"/>
          <w:b w:val="0"/>
          <w:i w:val="0"/>
          <w:sz w:val="23"/>
        </w:rPr>
        <w:t>, Member</w:t>
      </w:r>
    </w:p>
    <w:p>
      <w:pPr>
        <w:spacing w:after="20"/>
        <w:jc w:val="left"/>
      </w:pPr>
      <w:r>
        <w:rPr>
          <w:rFonts w:ascii="Times New Roman" w:hAnsi="Times New Roman" w:eastAsia="Times New Roman" w:cs="Times New Roman"/>
          <w:b w:val="0"/>
          <w:i w:val="0"/>
          <w:sz w:val="23"/>
        </w:rPr>
        <w:t>Date: ______________________</w:t>
      </w:r>
    </w:p>
    <w:p>
      <w:pPr>
        <w:spacing w:before="440" w:after="40"/>
        <w:jc w:val="left"/>
      </w:pPr>
      <w:r>
        <w:rPr>
          <w:rFonts w:ascii="Times New Roman" w:hAnsi="Times New Roman" w:eastAsia="Times New Roman" w:cs="Times New Roman"/>
          <w:sz w:val="24"/>
        </w:rPr>
        <w:t>________________________________________</w:t>
      </w:r>
    </w:p>
    <w:p>
      <w:pPr>
        <w:spacing w:after="20"/>
        <w:jc w:val="left"/>
      </w:pPr>
      <w:r>
        <w:rPr>
          <w:rFonts w:ascii="Times New Roman" w:hAnsi="Times New Roman" w:eastAsia="Times New Roman" w:cs="Times New Roman"/>
          <w:b/>
          <w:i w:val="0"/>
          <w:sz w:val="23"/>
        </w:rPr>
        <w:t>Christy Nguyen</w:t>
      </w:r>
      <w:r>
        <w:rPr>
          <w:rFonts w:ascii="Times New Roman" w:hAnsi="Times New Roman" w:eastAsia="Times New Roman" w:cs="Times New Roman"/>
          <w:b w:val="0"/>
          <w:i w:val="0"/>
          <w:sz w:val="23"/>
        </w:rPr>
        <w:t>, Member</w:t>
      </w:r>
    </w:p>
    <w:p>
      <w:pPr>
        <w:spacing w:after="20"/>
        <w:jc w:val="left"/>
      </w:pPr>
      <w:r>
        <w:rPr>
          <w:rFonts w:ascii="Times New Roman" w:hAnsi="Times New Roman" w:eastAsia="Times New Roman" w:cs="Times New Roman"/>
          <w:b w:val="0"/>
          <w:i w:val="0"/>
          <w:sz w:val="23"/>
        </w:rPr>
        <w:t>Date: ______________________</w:t>
      </w:r>
    </w:p>
    <w:p>
      <w:r>
        <w:rPr>
          <w:rFonts w:ascii="Times New Roman" w:hAnsi="Times New Roman" w:eastAsia="Times New Roman" w:cs="Times New Roman"/>
        </w:rPr>
        <w:br w:type="page"/>
      </w:r>
    </w:p>
    <w:p>
      <w:pPr>
        <w:keepNext w:val="0"/>
        <w:widowControl/>
        <w:spacing w:before="0" w:after="60" w:line="240" w:lineRule="auto"/>
        <w:ind w:left="0"/>
        <w:jc w:val="center"/>
      </w:pPr>
      <w:r>
        <w:rPr>
          <w:rFonts w:ascii="Times New Roman" w:hAnsi="Times New Roman" w:eastAsia="Times New Roman" w:cs="Times New Roman"/>
          <w:b/>
          <w:i w:val="0"/>
          <w:sz w:val="22"/>
        </w:rPr>
        <w:t>ANNEX</w:t>
      </w:r>
    </w:p>
    <w:p>
      <w:pPr>
        <w:keepNext w:val="0"/>
        <w:widowControl/>
        <w:spacing w:before="0" w:after="80" w:line="240" w:lineRule="auto"/>
        <w:ind w:left="0"/>
        <w:jc w:val="center"/>
      </w:pPr>
      <w:r>
        <w:rPr>
          <w:rFonts w:ascii="Times New Roman" w:hAnsi="Times New Roman" w:eastAsia="Times New Roman" w:cs="Times New Roman"/>
          <w:b/>
          <w:i w:val="0"/>
          <w:sz w:val="26"/>
        </w:rPr>
        <w:t>DRAFTING NOTES FOR BLAKE, HUGH, AND COUNSEL</w:t>
      </w:r>
    </w:p>
    <w:p>
      <w:pPr>
        <w:keepNext w:val="0"/>
        <w:widowControl/>
        <w:spacing w:before="0" w:after="280" w:line="240" w:lineRule="auto"/>
        <w:ind w:left="0"/>
        <w:jc w:val="center"/>
      </w:pPr>
      <w:r>
        <w:rPr>
          <w:rFonts w:ascii="Times New Roman" w:hAnsi="Times New Roman" w:eastAsia="Times New Roman" w:cs="Times New Roman"/>
          <w:b/>
          <w:i/>
          <w:sz w:val="21"/>
        </w:rPr>
        <w:t>NOT PART OF THE REQUEST — REMOVE THIS ANNEX BEFORE THE LETTER IS SENT</w:t>
      </w:r>
    </w:p>
    <w:p>
      <w:pPr>
        <w:spacing w:before="0" w:after="280"/>
        <w:pBdr>
          <w:bottom w:val="single" w:sz="6" w:space="1" w:color="808080"/>
        </w:pBdr>
      </w:pPr>
    </w:p>
    <w:p>
      <w:pPr>
        <w:spacing w:after="200" w:line="240" w:lineRule="auto"/>
        <w:ind w:left="432" w:hanging="432"/>
        <w:jc w:val="both"/>
      </w:pPr>
      <w:r>
        <w:rPr>
          <w:rFonts w:ascii="Times New Roman" w:hAnsi="Times New Roman" w:eastAsia="Times New Roman" w:cs="Times New Roman"/>
          <w:sz w:val="24"/>
        </w:rPr>
        <w:t xml:space="preserve">• </w:t>
      </w:r>
      <w:r>
        <w:rPr>
          <w:rFonts w:ascii="Times New Roman" w:hAnsi="Times New Roman" w:eastAsia="Times New Roman" w:cs="Times New Roman"/>
          <w:b/>
          <w:i w:val="0"/>
          <w:sz w:val="24"/>
        </w:rPr>
        <w:t>Why this scope:</w:t>
      </w:r>
      <w:r>
        <w:rPr>
          <w:rFonts w:ascii="Times New Roman" w:hAnsi="Times New Roman" w:eastAsia="Times New Roman" w:cs="Times New Roman"/>
          <w:b w:val="0"/>
          <w:i w:val="0"/>
          <w:sz w:val="24"/>
        </w:rPr>
        <w:t xml:space="preserve"> every lettered item maps to a specific open question in the underlying analysis files — Section A resolves the S-election/Comatri problem; Section B resolves the $69,033 and the owner-account migration in one package; Section C verifies the cash narrative ($107, the plan-vs-actual figures); Section D resolves reimbursement legitimacy, the “written arrangement” claim, and the §1.9 consent question; Section E creates signed statements of fact that either close issues or become exhibits.</w:t>
      </w:r>
    </w:p>
    <w:p>
      <w:pPr>
        <w:spacing w:after="200" w:line="240" w:lineRule="auto"/>
        <w:ind w:left="432" w:hanging="432"/>
        <w:jc w:val="both"/>
      </w:pPr>
      <w:r>
        <w:rPr>
          <w:rFonts w:ascii="Times New Roman" w:hAnsi="Times New Roman" w:eastAsia="Times New Roman" w:cs="Times New Roman"/>
          <w:sz w:val="24"/>
        </w:rPr>
        <w:t xml:space="preserve">• </w:t>
      </w:r>
      <w:r>
        <w:rPr>
          <w:rFonts w:ascii="Times New Roman" w:hAnsi="Times New Roman" w:eastAsia="Times New Roman" w:cs="Times New Roman"/>
          <w:b/>
          <w:i w:val="0"/>
          <w:sz w:val="24"/>
        </w:rPr>
        <w:t>What was deliberately left out</w:t>
      </w:r>
      <w:r>
        <w:rPr>
          <w:rFonts w:ascii="Times New Roman" w:hAnsi="Times New Roman" w:eastAsia="Times New Roman" w:cs="Times New Roman"/>
          <w:b w:val="0"/>
          <w:i w:val="0"/>
          <w:sz w:val="24"/>
        </w:rPr>
        <w:t xml:space="preserve"> to keep it non-onerous: Jer’s personal bank and card statements (not Company records — approached voluntarily via item 9), Katana order exports (valuable but bulky; a second round if needed), correspondence and email productions (litigation-scale; not yet), and anything requiring new analysis to be created.</w:t>
      </w:r>
    </w:p>
    <w:p>
      <w:pPr>
        <w:spacing w:after="200" w:line="240" w:lineRule="auto"/>
        <w:ind w:left="432" w:hanging="432"/>
        <w:jc w:val="both"/>
      </w:pPr>
      <w:r>
        <w:rPr>
          <w:rFonts w:ascii="Times New Roman" w:hAnsi="Times New Roman" w:eastAsia="Times New Roman" w:cs="Times New Roman"/>
          <w:sz w:val="24"/>
        </w:rPr>
        <w:t xml:space="preserve">• </w:t>
      </w:r>
      <w:r>
        <w:rPr>
          <w:rFonts w:ascii="Times New Roman" w:hAnsi="Times New Roman" w:eastAsia="Times New Roman" w:cs="Times New Roman"/>
          <w:b/>
          <w:i w:val="0"/>
          <w:sz w:val="24"/>
        </w:rPr>
        <w:t>Deadlines</w:t>
      </w:r>
      <w:r>
        <w:rPr>
          <w:rFonts w:ascii="Times New Roman" w:hAnsi="Times New Roman" w:eastAsia="Times New Roman" w:cs="Times New Roman"/>
          <w:b w:val="0"/>
          <w:i w:val="0"/>
          <w:sz w:val="24"/>
        </w:rPr>
        <w:t xml:space="preserve"> are practical, not statutory — counsel may adjust. The “silence will force us to treat the open items formally” line is the only escalation language; keep it or soften it as you both prefer.</w:t>
      </w:r>
    </w:p>
    <w:p>
      <w:pPr>
        <w:spacing w:after="200" w:line="240" w:lineRule="auto"/>
        <w:ind w:left="432" w:hanging="432"/>
        <w:jc w:val="both"/>
      </w:pPr>
      <w:r>
        <w:rPr>
          <w:rFonts w:ascii="Times New Roman" w:hAnsi="Times New Roman" w:eastAsia="Times New Roman" w:cs="Times New Roman"/>
          <w:sz w:val="24"/>
        </w:rPr>
        <w:t xml:space="preserve">• </w:t>
      </w:r>
      <w:r>
        <w:rPr>
          <w:rFonts w:ascii="Times New Roman" w:hAnsi="Times New Roman" w:eastAsia="Times New Roman" w:cs="Times New Roman"/>
          <w:b/>
          <w:i w:val="0"/>
          <w:sz w:val="24"/>
        </w:rPr>
        <w:t>Mark Clark is a member too.</w:t>
      </w:r>
      <w:r>
        <w:rPr>
          <w:rFonts w:ascii="Times New Roman" w:hAnsi="Times New Roman" w:eastAsia="Times New Roman" w:cs="Times New Roman"/>
          <w:b w:val="0"/>
          <w:i w:val="0"/>
          <w:sz w:val="24"/>
        </w:rPr>
        <w:t xml:space="preserve"> Deliberate choice not to include him as a signatory: he is conflicted (consultant, creditor, books participant) and is himself a subject of items 10–12. Decide with counsel whether to inform him.</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i w:val="0"/>
        <w:color w:val="555555"/>
        <w:sz w:val="18"/>
      </w:rPr>
      <w:t xml:space="preserve">Members’ Records Request — Bravado Spice LLC  |  Page </w:t>
    </w:r>
    <w:r>
      <w:rPr>
        <w:rFonts w:ascii="Times New Roman" w:hAnsi="Times New Roman" w:eastAsia="Times New Roman" w:cs="Times New Roman"/>
        <w:sz w:val="18"/>
      </w:rPr>
      <w:fldChar w:fldCharType="begin"/>
    </w:r>
    <w:r>
      <w:rPr>
        <w:rFonts w:ascii="Times New Roman" w:hAnsi="Times New Roman" w:eastAsia="Times New Roman" w:cs="Times New Roman"/>
        <w:sz w:val="18"/>
      </w:rPr>
      <w:instrText xml:space="preserve">PAGE</w:instrText>
    </w:r>
    <w:r>
      <w:rPr>
        <w:rFonts w:ascii="Times New Roman" w:hAnsi="Times New Roman" w:eastAsia="Times New Roman" w:cs="Times New Roman"/>
        <w:sz w:val="18"/>
      </w:rPr>
      <w:fldChar w:fldCharType="end"/>
    </w:r>
    <w:r>
      <w:rPr>
        <w:rFonts w:ascii="Times New Roman" w:hAnsi="Times New Roman" w:eastAsia="Times New Roman" w:cs="Times New Roman"/>
        <w:i w:val="0"/>
        <w:color w:val="555555"/>
        <w:sz w:val="18"/>
      </w:rPr>
      <w:t xml:space="preserve"> of </w:t>
    </w:r>
    <w:r>
      <w:rPr>
        <w:rFonts w:ascii="Times New Roman" w:hAnsi="Times New Roman" w:eastAsia="Times New Roman" w:cs="Times New Roman"/>
        <w:sz w:val="18"/>
      </w:rPr>
      <w:fldChar w:fldCharType="begin"/>
    </w:r>
    <w:r>
      <w:rPr>
        <w:rFonts w:ascii="Times New Roman" w:hAnsi="Times New Roman" w:eastAsia="Times New Roman" w:cs="Times New Roman"/>
        <w:sz w:val="18"/>
      </w:rPr>
      <w:instrText xml:space="preserve">NUMPAGES</w:instrText>
    </w:r>
    <w:r>
      <w:rPr>
        <w:rFonts w:ascii="Times New Roman" w:hAnsi="Times New Roman" w:eastAsia="Times New Roman" w:cs="Times New Roman"/>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jc w:val="center"/>
      <w:pBdr>
        <w:bottom w:val="single" w:sz="4" w:space="4" w:color="808080"/>
      </w:pBdr>
    </w:pPr>
    <w:r>
      <w:rPr>
        <w:rFonts w:ascii="Times New Roman" w:hAnsi="Times New Roman" w:eastAsia="Times New Roman" w:cs="Times New Roman"/>
        <w:b/>
        <w:color w:val="555555"/>
        <w:sz w:val="18"/>
      </w:rPr>
      <w:t>PRIVILEGED AND CONFIDENTIAL  •  ATTORNEY WORK PRODUCT  •  DRAFT FOR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pPr>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