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06" w:rsidRDefault="00C04206" w:rsidP="009D47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proofErr w:type="gramStart"/>
      <w:r>
        <w:rPr>
          <w:rFonts w:ascii="Times New Roman" w:hAnsi="Times New Roman" w:cs="Times New Roman"/>
        </w:rPr>
        <w:t>IMPLEMENTAÇÃO</w:t>
      </w:r>
      <w:proofErr w:type="gramEnd"/>
      <w:r>
        <w:rPr>
          <w:rFonts w:ascii="Times New Roman" w:hAnsi="Times New Roman" w:cs="Times New Roman"/>
        </w:rPr>
        <w:t>:</w:t>
      </w:r>
    </w:p>
    <w:p w:rsidR="009D4719" w:rsidRPr="009D4719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Há necessidade de diferenciar idades das espécies de níveis tróficos diferentes?</w:t>
      </w:r>
    </w:p>
    <w:p w:rsidR="009D4719" w:rsidRDefault="009D4719">
      <w:r>
        <w:t>Sobre plasticidade e custo:</w:t>
      </w:r>
    </w:p>
    <w:p w:rsidR="009D4719" w:rsidRDefault="009D4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 energético por nível de plasticidade.</w:t>
      </w:r>
    </w:p>
    <w:p w:rsidR="009D4719" w:rsidRDefault="009D4719">
      <w:pPr>
        <w:rPr>
          <w:rFonts w:cs="Calibri"/>
          <w:color w:val="000000"/>
        </w:rPr>
      </w:pPr>
      <w:r w:rsidRPr="009D4719">
        <w:rPr>
          <w:rFonts w:ascii="Times New Roman" w:hAnsi="Times New Roman" w:cs="Times New Roman"/>
        </w:rPr>
        <w:t xml:space="preserve"> </w:t>
      </w:r>
      <w:r w:rsidR="00717907" w:rsidRPr="009D4719">
        <w:rPr>
          <w:rFonts w:cs="Calibri"/>
          <w:color w:val="000000"/>
        </w:rPr>
        <w:t>As plasticidades diferentes</w:t>
      </w:r>
      <w:r>
        <w:rPr>
          <w:rFonts w:cs="Calibri"/>
          <w:color w:val="000000"/>
        </w:rPr>
        <w:t xml:space="preserve"> para primários e secundários</w:t>
      </w:r>
      <w:r w:rsidR="003D34B3">
        <w:rPr>
          <w:rFonts w:cs="Calibri"/>
          <w:color w:val="000000"/>
        </w:rPr>
        <w:t xml:space="preserve"> (movimento browniano e </w:t>
      </w:r>
      <w:r w:rsidR="00717907">
        <w:rPr>
          <w:rFonts w:cs="Calibri"/>
          <w:color w:val="000000"/>
        </w:rPr>
        <w:t>em resposta a</w:t>
      </w:r>
      <w:r w:rsidR="003D34B3">
        <w:rPr>
          <w:rFonts w:cs="Calibri"/>
          <w:color w:val="000000"/>
        </w:rPr>
        <w:t xml:space="preserve"> perturbação </w:t>
      </w:r>
      <w:r w:rsidR="00717907">
        <w:rPr>
          <w:rFonts w:cs="Calibri"/>
          <w:color w:val="000000"/>
        </w:rPr>
        <w:t xml:space="preserve">dá </w:t>
      </w:r>
      <w:r w:rsidR="003D34B3">
        <w:rPr>
          <w:rFonts w:cs="Calibri"/>
          <w:color w:val="000000"/>
        </w:rPr>
        <w:t>saltos).</w:t>
      </w:r>
    </w:p>
    <w:p w:rsidR="00717907" w:rsidRDefault="00717907">
      <w:pPr>
        <w:rPr>
          <w:rFonts w:cs="Calibri"/>
        </w:rPr>
      </w:pPr>
      <w:r w:rsidRPr="00717907">
        <w:rPr>
          <w:rFonts w:cs="Calibri"/>
        </w:rPr>
        <w:t>A dica ambiental será uma determinada configuração de perturbação colocada.</w:t>
      </w:r>
      <w:r>
        <w:rPr>
          <w:rFonts w:cs="Calibri"/>
        </w:rPr>
        <w:t xml:space="preserve"> </w:t>
      </w:r>
    </w:p>
    <w:p w:rsidR="00717907" w:rsidRPr="00717907" w:rsidRDefault="00717907">
      <w:r>
        <w:rPr>
          <w:rFonts w:cs="Calibri"/>
        </w:rPr>
        <w:t xml:space="preserve">Até sem perturbação colocada já poderá apresentar </w:t>
      </w:r>
      <w:r w:rsidR="00C04206">
        <w:rPr>
          <w:rFonts w:cs="Calibri"/>
        </w:rPr>
        <w:t>os saltos</w:t>
      </w:r>
      <w:r>
        <w:rPr>
          <w:rFonts w:cs="Calibri"/>
        </w:rPr>
        <w:t xml:space="preserve"> se o habitat tiver bastante destruído por comida? Foi isso que eu entendi?</w:t>
      </w:r>
    </w:p>
    <w:p w:rsidR="009D4719" w:rsidRDefault="009D4719">
      <w:r>
        <w:t>Sobre a perturbação:</w:t>
      </w:r>
    </w:p>
    <w:p w:rsidR="003D34B3" w:rsidRDefault="003D3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3D34B3">
        <w:rPr>
          <w:rFonts w:ascii="Times New Roman" w:hAnsi="Times New Roman" w:cs="Times New Roman"/>
        </w:rPr>
        <w:t xml:space="preserve">ma perturbação humana </w:t>
      </w:r>
      <w:r w:rsidR="00EE2260">
        <w:rPr>
          <w:rFonts w:ascii="Times New Roman" w:hAnsi="Times New Roman" w:cs="Times New Roman"/>
        </w:rPr>
        <w:t xml:space="preserve">que </w:t>
      </w:r>
      <w:r w:rsidRPr="003D34B3">
        <w:rPr>
          <w:rFonts w:ascii="Times New Roman" w:hAnsi="Times New Roman" w:cs="Times New Roman"/>
        </w:rPr>
        <w:t>modificará a estrutura e destruirá todos os indivíduos dentro de uma determinada região</w:t>
      </w:r>
      <w:r>
        <w:rPr>
          <w:rFonts w:ascii="Times New Roman" w:hAnsi="Times New Roman" w:cs="Times New Roman"/>
        </w:rPr>
        <w:t xml:space="preserve">. </w:t>
      </w:r>
    </w:p>
    <w:p w:rsidR="009D4719" w:rsidRDefault="003D34B3">
      <w:pPr>
        <w:rPr>
          <w:rFonts w:ascii="Times New Roman" w:hAnsi="Times New Roman" w:cs="Times New Roman"/>
        </w:rPr>
      </w:pPr>
      <w:r w:rsidRPr="003D34B3">
        <w:rPr>
          <w:rFonts w:ascii="Times New Roman" w:hAnsi="Times New Roman" w:cs="Times New Roman"/>
        </w:rPr>
        <w:t>A perturbação mencionada anteriormente terá a seguinte configuração: estrutura, tamanho e escala temporal.</w:t>
      </w:r>
    </w:p>
    <w:p w:rsidR="006E28E7" w:rsidRDefault="006E2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Puxar arquivo do Grandientland.</w:t>
      </w:r>
      <w:bookmarkStart w:id="0" w:name="_GoBack"/>
      <w:bookmarkEnd w:id="0"/>
    </w:p>
    <w:p w:rsidR="00C04206" w:rsidRDefault="00C04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Métricas gerais:</w:t>
      </w:r>
    </w:p>
    <w:p w:rsidR="00C04206" w:rsidRPr="003D34B3" w:rsidRDefault="00C04206">
      <w:r w:rsidRPr="00E22A53">
        <w:rPr>
          <w:rFonts w:cstheme="minorHAnsi"/>
        </w:rPr>
        <w:t xml:space="preserve">As métricas decididas para população foi: abundância relativa e para comunidade: riqueza e </w:t>
      </w:r>
      <w:proofErr w:type="spellStart"/>
      <w:r w:rsidRPr="00E22A53">
        <w:rPr>
          <w:rFonts w:cstheme="minorHAnsi"/>
        </w:rPr>
        <w:t>equabilidade</w:t>
      </w:r>
      <w:proofErr w:type="spellEnd"/>
      <w:r w:rsidRPr="00E22A53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9D4719" w:rsidRDefault="009D4719"/>
    <w:p w:rsidR="009D4719" w:rsidRPr="002E71A2" w:rsidRDefault="00C04206" w:rsidP="009D47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RESOLVER: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Qual melhor conceito de resiliência ecológica aplicada ao contexto do meu trabalho?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1 - Babel, </w:t>
      </w:r>
      <w:proofErr w:type="spellStart"/>
      <w:r w:rsidRPr="002E71A2">
        <w:rPr>
          <w:rFonts w:ascii="Times New Roman" w:hAnsi="Times New Roman" w:cs="Times New Roman"/>
        </w:rPr>
        <w:t>or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the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stability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discussions</w:t>
      </w:r>
      <w:proofErr w:type="spellEnd"/>
      <w:r w:rsidRPr="002E71A2">
        <w:rPr>
          <w:rFonts w:ascii="Times New Roman" w:hAnsi="Times New Roman" w:cs="Times New Roman"/>
        </w:rPr>
        <w:t xml:space="preserve">: </w:t>
      </w:r>
      <w:proofErr w:type="spellStart"/>
      <w:r w:rsidRPr="002E71A2">
        <w:rPr>
          <w:rFonts w:ascii="Times New Roman" w:hAnsi="Times New Roman" w:cs="Times New Roman"/>
        </w:rPr>
        <w:t>an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inventory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analysis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terminology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a </w:t>
      </w:r>
      <w:proofErr w:type="spellStart"/>
      <w:r w:rsidRPr="002E71A2">
        <w:rPr>
          <w:rFonts w:ascii="Times New Roman" w:hAnsi="Times New Roman" w:cs="Times New Roman"/>
        </w:rPr>
        <w:t>guide</w:t>
      </w:r>
      <w:proofErr w:type="spellEnd"/>
      <w:r w:rsidRPr="002E71A2">
        <w:rPr>
          <w:rFonts w:ascii="Times New Roman" w:hAnsi="Times New Roman" w:cs="Times New Roman"/>
        </w:rPr>
        <w:t xml:space="preserve"> for </w:t>
      </w:r>
      <w:proofErr w:type="spellStart"/>
      <w:r w:rsidRPr="002E71A2">
        <w:rPr>
          <w:rFonts w:ascii="Times New Roman" w:hAnsi="Times New Roman" w:cs="Times New Roman"/>
        </w:rPr>
        <w:t>avoiding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confusion</w:t>
      </w:r>
      <w:proofErr w:type="spellEnd"/>
      <w:r w:rsidRPr="002E71A2">
        <w:rPr>
          <w:rFonts w:ascii="Times New Roman" w:hAnsi="Times New Roman" w:cs="Times New Roman"/>
        </w:rPr>
        <w:t xml:space="preserve"> (Grimm 1997 – </w:t>
      </w:r>
      <w:proofErr w:type="spellStart"/>
      <w:r w:rsidRPr="002E71A2">
        <w:rPr>
          <w:rFonts w:ascii="Times New Roman" w:hAnsi="Times New Roman" w:cs="Times New Roman"/>
        </w:rPr>
        <w:t>Oecologia</w:t>
      </w:r>
      <w:proofErr w:type="spellEnd"/>
      <w:r w:rsidRPr="002E71A2">
        <w:rPr>
          <w:rFonts w:ascii="Times New Roman" w:hAnsi="Times New Roman" w:cs="Times New Roman"/>
        </w:rPr>
        <w:t>, 685 citações) – “Retornar ao estado de referência (ou dinâmico) após um distúrbio temporário”.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2 – </w:t>
      </w:r>
      <w:proofErr w:type="spellStart"/>
      <w:r w:rsidRPr="002E71A2">
        <w:rPr>
          <w:rFonts w:ascii="Times New Roman" w:hAnsi="Times New Roman" w:cs="Times New Roman"/>
        </w:rPr>
        <w:t>Biodiversity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stability</w:t>
      </w:r>
      <w:proofErr w:type="spellEnd"/>
      <w:r w:rsidRPr="002E71A2">
        <w:rPr>
          <w:rFonts w:ascii="Times New Roman" w:hAnsi="Times New Roman" w:cs="Times New Roman"/>
        </w:rPr>
        <w:t xml:space="preserve"> in </w:t>
      </w:r>
      <w:proofErr w:type="spellStart"/>
      <w:r w:rsidRPr="002E71A2">
        <w:rPr>
          <w:rFonts w:ascii="Times New Roman" w:hAnsi="Times New Roman" w:cs="Times New Roman"/>
        </w:rPr>
        <w:t>grasslands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Tilman</w:t>
      </w:r>
      <w:proofErr w:type="spellEnd"/>
      <w:r w:rsidRPr="002E71A2">
        <w:rPr>
          <w:rFonts w:ascii="Times New Roman" w:hAnsi="Times New Roman" w:cs="Times New Roman"/>
        </w:rPr>
        <w:t xml:space="preserve"> e </w:t>
      </w:r>
      <w:proofErr w:type="spellStart"/>
      <w:r w:rsidRPr="002E71A2">
        <w:rPr>
          <w:rFonts w:ascii="Times New Roman" w:hAnsi="Times New Roman" w:cs="Times New Roman"/>
        </w:rPr>
        <w:t>Downing</w:t>
      </w:r>
      <w:proofErr w:type="spellEnd"/>
      <w:r w:rsidRPr="002E71A2">
        <w:rPr>
          <w:rFonts w:ascii="Times New Roman" w:hAnsi="Times New Roman" w:cs="Times New Roman"/>
        </w:rPr>
        <w:t xml:space="preserve"> 1994 – </w:t>
      </w:r>
      <w:proofErr w:type="spellStart"/>
      <w:r w:rsidRPr="002E71A2">
        <w:rPr>
          <w:rFonts w:ascii="Times New Roman" w:hAnsi="Times New Roman" w:cs="Times New Roman"/>
        </w:rPr>
        <w:t>Nature</w:t>
      </w:r>
      <w:proofErr w:type="spellEnd"/>
      <w:r w:rsidRPr="002E71A2">
        <w:rPr>
          <w:rFonts w:ascii="Times New Roman" w:hAnsi="Times New Roman" w:cs="Times New Roman"/>
        </w:rPr>
        <w:t>, 2519 citações) -</w:t>
      </w:r>
      <w:proofErr w:type="gramStart"/>
      <w:r w:rsidRPr="002E71A2">
        <w:rPr>
          <w:rFonts w:ascii="Times New Roman" w:hAnsi="Times New Roman" w:cs="Times New Roman"/>
        </w:rPr>
        <w:t xml:space="preserve">  </w:t>
      </w:r>
      <w:proofErr w:type="gramEnd"/>
      <w:r w:rsidRPr="002E71A2">
        <w:rPr>
          <w:rFonts w:ascii="Times New Roman" w:hAnsi="Times New Roman" w:cs="Times New Roman"/>
        </w:rPr>
        <w:t>“A velocidade na qual um sistema retorna a um único ponto de equilíbrio após uma interrupção”.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3 - Response </w:t>
      </w:r>
      <w:proofErr w:type="spellStart"/>
      <w:r w:rsidRPr="002E71A2">
        <w:rPr>
          <w:rFonts w:ascii="Times New Roman" w:hAnsi="Times New Roman" w:cs="Times New Roman"/>
        </w:rPr>
        <w:t>diversity</w:t>
      </w:r>
      <w:proofErr w:type="spellEnd"/>
      <w:r w:rsidRPr="002E71A2">
        <w:rPr>
          <w:rFonts w:ascii="Times New Roman" w:hAnsi="Times New Roman" w:cs="Times New Roman"/>
        </w:rPr>
        <w:t xml:space="preserve">, </w:t>
      </w:r>
      <w:proofErr w:type="spellStart"/>
      <w:r w:rsidRPr="002E71A2">
        <w:rPr>
          <w:rFonts w:ascii="Times New Roman" w:hAnsi="Times New Roman" w:cs="Times New Roman"/>
        </w:rPr>
        <w:t>ecosystem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change</w:t>
      </w:r>
      <w:proofErr w:type="spellEnd"/>
      <w:r w:rsidRPr="002E71A2">
        <w:rPr>
          <w:rFonts w:ascii="Times New Roman" w:hAnsi="Times New Roman" w:cs="Times New Roman"/>
        </w:rPr>
        <w:t xml:space="preserve">,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Elmqvist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gramStart"/>
      <w:r w:rsidRPr="002E71A2">
        <w:rPr>
          <w:rFonts w:ascii="Times New Roman" w:hAnsi="Times New Roman" w:cs="Times New Roman"/>
        </w:rPr>
        <w:t>et</w:t>
      </w:r>
      <w:proofErr w:type="gramEnd"/>
      <w:r w:rsidRPr="002E71A2">
        <w:rPr>
          <w:rFonts w:ascii="Times New Roman" w:hAnsi="Times New Roman" w:cs="Times New Roman"/>
        </w:rPr>
        <w:t xml:space="preserve"> al. 2003 - </w:t>
      </w:r>
      <w:proofErr w:type="spellStart"/>
      <w:r w:rsidRPr="002E71A2">
        <w:rPr>
          <w:rFonts w:ascii="Times New Roman" w:hAnsi="Times New Roman" w:cs="Times New Roman"/>
        </w:rPr>
        <w:t>Frontiers</w:t>
      </w:r>
      <w:proofErr w:type="spellEnd"/>
      <w:r w:rsidRPr="002E71A2">
        <w:rPr>
          <w:rFonts w:ascii="Times New Roman" w:hAnsi="Times New Roman" w:cs="Times New Roman"/>
        </w:rPr>
        <w:t xml:space="preserve"> in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the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Environment</w:t>
      </w:r>
      <w:proofErr w:type="spellEnd"/>
      <w:r w:rsidRPr="002E71A2">
        <w:rPr>
          <w:rFonts w:ascii="Times New Roman" w:hAnsi="Times New Roman" w:cs="Times New Roman"/>
        </w:rPr>
        <w:t>, 1526 citações) – “Quantidade de perturbação que um sistema pode absorver e ainda permanecer dentro do mesmo estado ou domínio de atração”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lastRenderedPageBreak/>
        <w:t xml:space="preserve">4 - The </w:t>
      </w:r>
      <w:proofErr w:type="spellStart"/>
      <w:r w:rsidRPr="002E71A2">
        <w:rPr>
          <w:rFonts w:ascii="Times New Roman" w:hAnsi="Times New Roman" w:cs="Times New Roman"/>
        </w:rPr>
        <w:t>complexity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stability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ecosystems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Pimm</w:t>
      </w:r>
      <w:proofErr w:type="spellEnd"/>
      <w:r w:rsidRPr="002E71A2">
        <w:rPr>
          <w:rFonts w:ascii="Times New Roman" w:hAnsi="Times New Roman" w:cs="Times New Roman"/>
        </w:rPr>
        <w:t xml:space="preserve"> 1984 – </w:t>
      </w:r>
      <w:proofErr w:type="spellStart"/>
      <w:r w:rsidRPr="002E71A2">
        <w:rPr>
          <w:rFonts w:ascii="Times New Roman" w:hAnsi="Times New Roman" w:cs="Times New Roman"/>
        </w:rPr>
        <w:t>Nature</w:t>
      </w:r>
      <w:proofErr w:type="spellEnd"/>
      <w:r w:rsidRPr="002E71A2">
        <w:rPr>
          <w:rFonts w:ascii="Times New Roman" w:hAnsi="Times New Roman" w:cs="Times New Roman"/>
        </w:rPr>
        <w:t>, 2529 citações) – “Quão rapidamente as variáveis retornam ao seu equilíbrio após a perturbação.</w:t>
      </w:r>
      <w:proofErr w:type="gramStart"/>
      <w:r w:rsidRPr="002E71A2">
        <w:rPr>
          <w:rFonts w:ascii="Times New Roman" w:hAnsi="Times New Roman" w:cs="Times New Roman"/>
        </w:rPr>
        <w:t>”</w:t>
      </w:r>
      <w:proofErr w:type="gramEnd"/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5 -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, </w:t>
      </w:r>
      <w:proofErr w:type="spellStart"/>
      <w:r w:rsidRPr="002E71A2">
        <w:rPr>
          <w:rFonts w:ascii="Times New Roman" w:hAnsi="Times New Roman" w:cs="Times New Roman"/>
        </w:rPr>
        <w:t>Adaptability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Transformability</w:t>
      </w:r>
      <w:proofErr w:type="spellEnd"/>
      <w:r w:rsidRPr="002E71A2">
        <w:rPr>
          <w:rFonts w:ascii="Times New Roman" w:hAnsi="Times New Roman" w:cs="Times New Roman"/>
        </w:rPr>
        <w:t xml:space="preserve"> in Social –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Systems (Walker </w:t>
      </w:r>
      <w:proofErr w:type="gramStart"/>
      <w:r w:rsidRPr="002E71A2">
        <w:rPr>
          <w:rFonts w:ascii="Times New Roman" w:hAnsi="Times New Roman" w:cs="Times New Roman"/>
        </w:rPr>
        <w:t>et</w:t>
      </w:r>
      <w:proofErr w:type="gramEnd"/>
      <w:r w:rsidRPr="002E71A2">
        <w:rPr>
          <w:rFonts w:ascii="Times New Roman" w:hAnsi="Times New Roman" w:cs="Times New Roman"/>
        </w:rPr>
        <w:t xml:space="preserve"> al. 2004 –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Society</w:t>
      </w:r>
      <w:proofErr w:type="spellEnd"/>
      <w:r w:rsidRPr="002E71A2">
        <w:rPr>
          <w:rFonts w:ascii="Times New Roman" w:hAnsi="Times New Roman" w:cs="Times New Roman"/>
        </w:rPr>
        <w:t>, 4940 citações) – “A capacidade de um sistema de absorver uma perturbação e reorganizar enquanto sofre mudanças, mantendo a mesma função, estrutura, identidade e feedback”.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6 -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systems (</w:t>
      </w:r>
      <w:proofErr w:type="spellStart"/>
      <w:r w:rsidRPr="002E71A2">
        <w:rPr>
          <w:rFonts w:ascii="Times New Roman" w:hAnsi="Times New Roman" w:cs="Times New Roman"/>
        </w:rPr>
        <w:t>Holling</w:t>
      </w:r>
      <w:proofErr w:type="spellEnd"/>
      <w:r w:rsidRPr="002E71A2">
        <w:rPr>
          <w:rFonts w:ascii="Times New Roman" w:hAnsi="Times New Roman" w:cs="Times New Roman"/>
        </w:rPr>
        <w:t xml:space="preserve"> 1973, </w:t>
      </w:r>
      <w:proofErr w:type="spellStart"/>
      <w:r w:rsidRPr="002E71A2">
        <w:rPr>
          <w:rFonts w:ascii="Times New Roman" w:hAnsi="Times New Roman" w:cs="Times New Roman"/>
        </w:rPr>
        <w:t>Annual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Review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Systematics</w:t>
      </w:r>
      <w:proofErr w:type="spellEnd"/>
      <w:r w:rsidRPr="002E71A2">
        <w:rPr>
          <w:rFonts w:ascii="Times New Roman" w:hAnsi="Times New Roman" w:cs="Times New Roman"/>
        </w:rPr>
        <w:t>, 12645 citações) – “A capacidade de absorver mudanças e perturbações e ainda manter as mesmas relações entre populações ou variáveis de estado”.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7 - Global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tropical </w:t>
      </w:r>
      <w:proofErr w:type="spellStart"/>
      <w:proofErr w:type="gramStart"/>
      <w:r w:rsidRPr="002E71A2">
        <w:rPr>
          <w:rFonts w:ascii="Times New Roman" w:hAnsi="Times New Roman" w:cs="Times New Roman"/>
        </w:rPr>
        <w:t>forest</w:t>
      </w:r>
      <w:proofErr w:type="spellEnd"/>
      <w:proofErr w:type="gram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savanna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to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critical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transitions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Hirota</w:t>
      </w:r>
      <w:proofErr w:type="spellEnd"/>
      <w:r w:rsidRPr="002E71A2">
        <w:rPr>
          <w:rFonts w:ascii="Times New Roman" w:hAnsi="Times New Roman" w:cs="Times New Roman"/>
        </w:rPr>
        <w:t xml:space="preserve"> et al. 2011 – Science, 610 citações) – “A capacidade de recuperar de perturbações.”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8 - </w:t>
      </w:r>
      <w:proofErr w:type="spellStart"/>
      <w:r w:rsidRPr="002E71A2">
        <w:rPr>
          <w:rFonts w:ascii="Times New Roman" w:hAnsi="Times New Roman" w:cs="Times New Roman"/>
        </w:rPr>
        <w:t>Alternative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states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positive feedbacks in </w:t>
      </w:r>
      <w:proofErr w:type="spellStart"/>
      <w:r w:rsidRPr="002E71A2">
        <w:rPr>
          <w:rFonts w:ascii="Times New Roman" w:hAnsi="Times New Roman" w:cs="Times New Roman"/>
        </w:rPr>
        <w:t>restoration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Suding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gramStart"/>
      <w:r w:rsidRPr="002E71A2">
        <w:rPr>
          <w:rFonts w:ascii="Times New Roman" w:hAnsi="Times New Roman" w:cs="Times New Roman"/>
        </w:rPr>
        <w:t>et</w:t>
      </w:r>
      <w:proofErr w:type="gramEnd"/>
      <w:r w:rsidRPr="002E71A2">
        <w:rPr>
          <w:rFonts w:ascii="Times New Roman" w:hAnsi="Times New Roman" w:cs="Times New Roman"/>
        </w:rPr>
        <w:t xml:space="preserve"> al. 2004, </w:t>
      </w:r>
      <w:proofErr w:type="spellStart"/>
      <w:r w:rsidRPr="002E71A2">
        <w:rPr>
          <w:rFonts w:ascii="Times New Roman" w:hAnsi="Times New Roman" w:cs="Times New Roman"/>
        </w:rPr>
        <w:t>Trends</w:t>
      </w:r>
      <w:proofErr w:type="spellEnd"/>
      <w:r w:rsidRPr="002E71A2">
        <w:rPr>
          <w:rFonts w:ascii="Times New Roman" w:hAnsi="Times New Roman" w:cs="Times New Roman"/>
        </w:rPr>
        <w:t xml:space="preserve"> in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Evolution</w:t>
      </w:r>
      <w:proofErr w:type="spellEnd"/>
      <w:r w:rsidRPr="002E71A2">
        <w:rPr>
          <w:rFonts w:ascii="Times New Roman" w:hAnsi="Times New Roman" w:cs="Times New Roman"/>
        </w:rPr>
        <w:t>, 1372 citações) – “Velocidade na qual um sistema retorna ao seu estado anterior depois de ter sido perturbado e deslocado desse estado”.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9 - The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Concept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Disturbance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Its Expression </w:t>
      </w:r>
      <w:proofErr w:type="spellStart"/>
      <w:r w:rsidRPr="002E71A2">
        <w:rPr>
          <w:rFonts w:ascii="Times New Roman" w:hAnsi="Times New Roman" w:cs="Times New Roman"/>
        </w:rPr>
        <w:t>at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Various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Hierarchical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Levels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Pickett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gramStart"/>
      <w:r w:rsidRPr="002E71A2">
        <w:rPr>
          <w:rFonts w:ascii="Times New Roman" w:hAnsi="Times New Roman" w:cs="Times New Roman"/>
        </w:rPr>
        <w:t>et</w:t>
      </w:r>
      <w:proofErr w:type="gramEnd"/>
      <w:r w:rsidRPr="002E71A2">
        <w:rPr>
          <w:rFonts w:ascii="Times New Roman" w:hAnsi="Times New Roman" w:cs="Times New Roman"/>
        </w:rPr>
        <w:t xml:space="preserve"> al. 1989 – </w:t>
      </w:r>
      <w:proofErr w:type="spellStart"/>
      <w:r w:rsidRPr="002E71A2">
        <w:rPr>
          <w:rFonts w:ascii="Times New Roman" w:hAnsi="Times New Roman" w:cs="Times New Roman"/>
        </w:rPr>
        <w:t>Oikos</w:t>
      </w:r>
      <w:proofErr w:type="spellEnd"/>
      <w:r w:rsidRPr="002E71A2">
        <w:rPr>
          <w:rFonts w:ascii="Times New Roman" w:hAnsi="Times New Roman" w:cs="Times New Roman"/>
        </w:rPr>
        <w:t>, 618 citações) – “Grau em que uma unidade ou uma função que esta unidade executa pode ser alterada sem alterar a estrutura mínima”.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10 – </w:t>
      </w:r>
      <w:proofErr w:type="spellStart"/>
      <w:r w:rsidRPr="002E71A2">
        <w:rPr>
          <w:rFonts w:ascii="Times New Roman" w:hAnsi="Times New Roman" w:cs="Times New Roman"/>
        </w:rPr>
        <w:t>Ecological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— in </w:t>
      </w:r>
      <w:proofErr w:type="spellStart"/>
      <w:r w:rsidRPr="002E71A2">
        <w:rPr>
          <w:rFonts w:ascii="Times New Roman" w:hAnsi="Times New Roman" w:cs="Times New Roman"/>
        </w:rPr>
        <w:t>Theory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a </w:t>
      </w:r>
      <w:proofErr w:type="spellStart"/>
      <w:r w:rsidRPr="002E71A2">
        <w:rPr>
          <w:rFonts w:ascii="Times New Roman" w:hAnsi="Times New Roman" w:cs="Times New Roman"/>
        </w:rPr>
        <w:t>Aplication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Gunderson</w:t>
      </w:r>
      <w:proofErr w:type="spellEnd"/>
      <w:r w:rsidRPr="002E71A2">
        <w:rPr>
          <w:rFonts w:ascii="Times New Roman" w:hAnsi="Times New Roman" w:cs="Times New Roman"/>
        </w:rPr>
        <w:t xml:space="preserve"> 2000 - </w:t>
      </w:r>
      <w:proofErr w:type="spellStart"/>
      <w:r w:rsidRPr="002E71A2">
        <w:rPr>
          <w:rFonts w:ascii="Times New Roman" w:hAnsi="Times New Roman" w:cs="Times New Roman"/>
        </w:rPr>
        <w:t>Annual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Review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Ecology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and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Systematics</w:t>
      </w:r>
      <w:proofErr w:type="spellEnd"/>
      <w:r w:rsidRPr="002E71A2">
        <w:rPr>
          <w:rFonts w:ascii="Times New Roman" w:hAnsi="Times New Roman" w:cs="Times New Roman"/>
        </w:rPr>
        <w:t>, 2086 citações) – “A magnitude da perturbação que um sistema pode absorver antes de sua estrutura está redefinida pela alteração das variáveis e processos que controlam o comportamento”.</w:t>
      </w:r>
    </w:p>
    <w:p w:rsidR="009D4719" w:rsidRPr="002E71A2" w:rsidRDefault="009D4719" w:rsidP="009D4719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11 - </w:t>
      </w:r>
      <w:proofErr w:type="spellStart"/>
      <w:r w:rsidRPr="002E71A2">
        <w:rPr>
          <w:rFonts w:ascii="Times New Roman" w:hAnsi="Times New Roman" w:cs="Times New Roman"/>
        </w:rPr>
        <w:t>An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exploratory</w:t>
      </w:r>
      <w:proofErr w:type="spellEnd"/>
      <w:r w:rsidRPr="002E71A2">
        <w:rPr>
          <w:rFonts w:ascii="Times New Roman" w:hAnsi="Times New Roman" w:cs="Times New Roman"/>
        </w:rPr>
        <w:t xml:space="preserve"> framework for </w:t>
      </w:r>
      <w:proofErr w:type="spellStart"/>
      <w:r w:rsidRPr="002E71A2">
        <w:rPr>
          <w:rFonts w:ascii="Times New Roman" w:hAnsi="Times New Roman" w:cs="Times New Roman"/>
        </w:rPr>
        <w:t>the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empirical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measurement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of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spellStart"/>
      <w:r w:rsidRPr="002E71A2">
        <w:rPr>
          <w:rFonts w:ascii="Times New Roman" w:hAnsi="Times New Roman" w:cs="Times New Roman"/>
        </w:rPr>
        <w:t>resilience</w:t>
      </w:r>
      <w:proofErr w:type="spellEnd"/>
      <w:r w:rsidRPr="002E71A2">
        <w:rPr>
          <w:rFonts w:ascii="Times New Roman" w:hAnsi="Times New Roman" w:cs="Times New Roman"/>
        </w:rPr>
        <w:t xml:space="preserve"> (</w:t>
      </w:r>
      <w:proofErr w:type="spellStart"/>
      <w:r w:rsidRPr="002E71A2">
        <w:rPr>
          <w:rFonts w:ascii="Times New Roman" w:hAnsi="Times New Roman" w:cs="Times New Roman"/>
        </w:rPr>
        <w:t>Cumming</w:t>
      </w:r>
      <w:proofErr w:type="spellEnd"/>
      <w:r w:rsidRPr="002E71A2">
        <w:rPr>
          <w:rFonts w:ascii="Times New Roman" w:hAnsi="Times New Roman" w:cs="Times New Roman"/>
        </w:rPr>
        <w:t xml:space="preserve"> </w:t>
      </w:r>
      <w:proofErr w:type="gramStart"/>
      <w:r w:rsidRPr="002E71A2">
        <w:rPr>
          <w:rFonts w:ascii="Times New Roman" w:hAnsi="Times New Roman" w:cs="Times New Roman"/>
        </w:rPr>
        <w:t>et</w:t>
      </w:r>
      <w:proofErr w:type="gramEnd"/>
      <w:r w:rsidRPr="002E71A2">
        <w:rPr>
          <w:rFonts w:ascii="Times New Roman" w:hAnsi="Times New Roman" w:cs="Times New Roman"/>
        </w:rPr>
        <w:t xml:space="preserve"> al. 2005 – </w:t>
      </w:r>
      <w:proofErr w:type="spellStart"/>
      <w:r w:rsidRPr="002E71A2">
        <w:rPr>
          <w:rFonts w:ascii="Times New Roman" w:hAnsi="Times New Roman" w:cs="Times New Roman"/>
        </w:rPr>
        <w:t>Ecosystems</w:t>
      </w:r>
      <w:proofErr w:type="spellEnd"/>
      <w:r w:rsidRPr="002E71A2">
        <w:rPr>
          <w:rFonts w:ascii="Times New Roman" w:hAnsi="Times New Roman" w:cs="Times New Roman"/>
        </w:rPr>
        <w:t>, 525 citações) – “A capacidade do sistema de manter sua identidade diante de mudanças internas e choques externos e distúrbios”.</w:t>
      </w:r>
    </w:p>
    <w:p w:rsidR="009D4719" w:rsidRDefault="009D4719"/>
    <w:sectPr w:rsidR="009D4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19"/>
    <w:rsid w:val="003620F1"/>
    <w:rsid w:val="003D34B3"/>
    <w:rsid w:val="006E28E7"/>
    <w:rsid w:val="00717907"/>
    <w:rsid w:val="009D4719"/>
    <w:rsid w:val="00C04206"/>
    <w:rsid w:val="00E92C64"/>
    <w:rsid w:val="00E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7</cp:revision>
  <dcterms:created xsi:type="dcterms:W3CDTF">2019-04-30T03:26:00Z</dcterms:created>
  <dcterms:modified xsi:type="dcterms:W3CDTF">2019-04-30T03:40:00Z</dcterms:modified>
</cp:coreProperties>
</file>