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proofErr w:type="gram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proofErr w:type="gram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  <w:bookmarkStart w:id="0" w:name="_GoBack"/>
      <w:bookmarkEnd w:id="0"/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B316DA" w:rsidRDefault="007B723E" w:rsidP="007B723E">
      <w:pPr>
        <w:rPr>
          <w:rFonts w:ascii="Times New Roman" w:hAnsi="Times New Roman" w:cs="Times New Roman"/>
        </w:rPr>
      </w:pPr>
      <w:r w:rsidRPr="00B316DA">
        <w:rPr>
          <w:rFonts w:ascii="Times New Roman" w:hAnsi="Times New Roman" w:cs="Times New Roman"/>
        </w:rPr>
        <w:t>Plasticidade</w:t>
      </w:r>
      <w:r w:rsidR="006B456C" w:rsidRPr="00B316DA">
        <w:rPr>
          <w:rFonts w:ascii="Times New Roman" w:hAnsi="Times New Roman" w:cs="Times New Roman"/>
        </w:rPr>
        <w:t xml:space="preserve"> e modelagem</w:t>
      </w:r>
      <w:r w:rsidR="00A52B37" w:rsidRPr="00B316DA">
        <w:rPr>
          <w:rFonts w:ascii="Times New Roman" w:hAnsi="Times New Roman" w:cs="Times New Roman"/>
        </w:rPr>
        <w:t>:</w:t>
      </w:r>
    </w:p>
    <w:p w:rsidR="00A1213B" w:rsidRPr="001D6C98" w:rsidRDefault="00A1213B" w:rsidP="00A1213B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D6C9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343CE" w:rsidRPr="001D6C98">
        <w:rPr>
          <w:rFonts w:ascii="Times New Roman" w:hAnsi="Times New Roman" w:cs="Times New Roman"/>
          <w:lang w:val="en-US"/>
        </w:rPr>
        <w:t>(</w:t>
      </w:r>
      <w:proofErr w:type="spellStart"/>
      <w:r w:rsidR="00C343CE" w:rsidRPr="001D6C98">
        <w:rPr>
          <w:rFonts w:ascii="Times New Roman" w:hAnsi="Times New Roman" w:cs="Times New Roman"/>
          <w:lang w:val="en-US"/>
        </w:rPr>
        <w:t>colocar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121F7" w:rsidRPr="001D6C9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B121F7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21F7" w:rsidRPr="001D6C98">
        <w:rPr>
          <w:rFonts w:ascii="Times New Roman" w:hAnsi="Times New Roman" w:cs="Times New Roman"/>
          <w:lang w:val="en-US"/>
        </w:rPr>
        <w:t>apresentação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>)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Cost and limits of phenotypic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responses to human-induced environmental change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 xml:space="preserve">Behavioral flexibility as a mechanism for coping with climate change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lastRenderedPageBreak/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Ecological consequences of phenotypic plasticity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Understanding variation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change: A conceptual overview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Plasticity, stereotypy, intra-individual variability and personality: Handle with care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Rethinking phenotypic plasticity and its consequences for individuals, populations and species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Adaptive phenotypic plasticity: consensus and controversy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Multiple testing: correcting for alpha error inflation with false 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DB7D84" w:rsidRPr="001D6C98" w:rsidRDefault="00DB7D84" w:rsidP="00B06002">
      <w:pPr>
        <w:rPr>
          <w:rFonts w:ascii="Times New Roman" w:hAnsi="Times New Roman" w:cs="Times New Roman"/>
          <w:lang w:val="en-US"/>
        </w:rPr>
      </w:pPr>
      <w:r w:rsidRPr="00DB7D84">
        <w:rPr>
          <w:rFonts w:ascii="Times New Roman" w:hAnsi="Times New Roman" w:cs="Times New Roman"/>
          <w:lang w:val="en-US"/>
        </w:rPr>
        <w:t>Evaluating 'Plasticity-First' Evolution in Nature: Key Criteria and Empirical Approaches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r w:rsidRPr="00381A8B">
        <w:rPr>
          <w:rFonts w:ascii="Times New Roman" w:hAnsi="Times New Roman" w:cs="Times New Roman"/>
        </w:rPr>
        <w:t>Artigos baixados na busca por perguntas de doutorado.</w:t>
      </w:r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B7D84"/>
    <w:rsid w:val="00DC2C5B"/>
    <w:rsid w:val="00DE162B"/>
    <w:rsid w:val="00E1454F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6</Pages>
  <Words>2110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245</cp:revision>
  <dcterms:created xsi:type="dcterms:W3CDTF">2017-11-27T15:42:00Z</dcterms:created>
  <dcterms:modified xsi:type="dcterms:W3CDTF">2019-09-06T19:24:00Z</dcterms:modified>
</cp:coreProperties>
</file>