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rPr>
      </w:pPr>
      <w:r w:rsidDel="00000000" w:rsidR="00000000" w:rsidRPr="00000000">
        <w:rPr>
          <w:b w:val="1"/>
          <w:bCs w:val="1"/>
          <w:rtl w:val="0"/>
        </w:rPr>
        <w:t xml:space="preserve">Definición de producto y alcance funcional preliminar</w:t>
      </w:r>
    </w:p>
    <w:p w:rsidR="00000000" w:rsidDel="00000000" w:rsidP="00000000" w:rsidRDefault="00000000" w:rsidRPr="00000000" w14:paraId="00000002">
      <w:pPr>
        <w:spacing w:after="120" w:before="80" w:lineRule="auto"/>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120" w:before="80" w:lineRule="auto"/>
        <w:rPr>
          <w:b w:val="1"/>
          <w:bCs w:val="1"/>
        </w:rPr>
      </w:pPr>
      <w:r w:rsidDel="00000000" w:rsidR="00000000" w:rsidRPr="00000000">
        <w:rPr>
          <w:b w:val="1"/>
          <w:bCs w:val="1"/>
          <w:rtl w:val="0"/>
        </w:rPr>
        <w:t xml:space="preserve">1. Punto de partida</w:t>
      </w:r>
    </w:p>
    <w:p w:rsidR="00000000" w:rsidDel="00000000" w:rsidP="00000000" w:rsidRDefault="00000000" w:rsidRPr="00000000" w14:paraId="00000004">
      <w:pPr>
        <w:spacing w:after="120" w:lineRule="auto"/>
        <w:rPr/>
      </w:pPr>
      <w:r w:rsidDel="00000000" w:rsidR="00000000" w:rsidRPr="00000000">
        <w:rPr>
          <w:rtl w:val="0"/>
        </w:rPr>
        <w:t xml:space="preserve">El desafío busca mejorar la transición de adolescentes y jóvenes con enfermedades crónicas, raras o complejas desde la atención pediátrica hacia servicios de adultos. La transición se entiende como un proceso que empieza antes del egreso pediátrico y continúa durante las primeras atenciones en adultos, hasta que el joven logra gestionar con mayor autonomía los aspectos esenciales de su cuidado y continuidad de atención.</w:t>
      </w:r>
    </w:p>
    <w:p w:rsidR="00000000" w:rsidDel="00000000" w:rsidP="00000000" w:rsidRDefault="00000000" w:rsidRPr="00000000" w14:paraId="00000005">
      <w:pPr>
        <w:spacing w:after="120" w:before="120" w:lineRule="auto"/>
        <w:rPr>
          <w:b w:val="1"/>
          <w:bCs w:val="1"/>
        </w:rPr>
      </w:pPr>
      <w:r w:rsidDel="00000000" w:rsidR="00000000" w:rsidRPr="00000000">
        <w:rPr>
          <w:b w:val="1"/>
          <w:bCs w:val="1"/>
          <w:rtl w:val="0"/>
        </w:rPr>
        <w:t xml:space="preserve">2. Problema priorizado</w:t>
      </w:r>
    </w:p>
    <w:p w:rsidR="00000000" w:rsidDel="00000000" w:rsidP="00000000" w:rsidRDefault="00000000" w:rsidRPr="00000000" w14:paraId="00000006">
      <w:pPr>
        <w:spacing w:after="120" w:lineRule="auto"/>
        <w:rPr/>
      </w:pPr>
      <w:r w:rsidDel="00000000" w:rsidR="00000000" w:rsidRPr="00000000">
        <w:rPr>
          <w:rtl w:val="0"/>
        </w:rPr>
        <w:t xml:space="preserve">La evidencia del desafío y el Journey Map muestran que el cambio no ocurre de manera ordenada ni uniforme. El joven puede llegar a la mayoría de edad sin conocer con claridad qué ocurrirá después, qué documentos necesita, dónde continuará su atención, cómo gestionar sus citas, qué información de su trayectoria debe conocer o comunicar y qué responsabilidades tendrá que asumir.</w:t>
      </w:r>
    </w:p>
    <w:p w:rsidR="00000000" w:rsidDel="00000000" w:rsidP="00000000" w:rsidRDefault="00000000" w:rsidRPr="00000000" w14:paraId="00000007">
      <w:pPr>
        <w:spacing w:after="120" w:lineRule="auto"/>
        <w:rPr/>
      </w:pPr>
      <w:r w:rsidDel="00000000" w:rsidR="00000000" w:rsidRPr="00000000">
        <w:rPr>
          <w:rtl w:val="0"/>
        </w:rPr>
        <w:t xml:space="preserve">La familia suele conservar gran parte de la memoria y de la gestión cotidiana del paciente. Cuando el joven pasa a adultos, esa dependencia puede mantenerse por un tiempo o disminuir de manera brusca. Al mismo tiempo, la información clínica puede llegar incompleta y el paciente termina reconstruyendo verbalmente su historia frente a profesionales que no conocen su trayectoria previa.</w:t>
      </w:r>
    </w:p>
    <w:p w:rsidR="00000000" w:rsidDel="00000000" w:rsidP="00000000" w:rsidRDefault="00000000" w:rsidRPr="00000000" w14:paraId="00000008">
      <w:pPr>
        <w:spacing w:after="120" w:lineRule="auto"/>
        <w:rPr/>
      </w:pPr>
      <w:r w:rsidDel="00000000" w:rsidR="00000000" w:rsidRPr="00000000">
        <w:rPr>
          <w:rtl w:val="0"/>
        </w:rPr>
        <w:t xml:space="preserve">El caso de estudio de Diabetes Mellitus Tipo 1 confirma estas brechas: no hubo un programa estructurado de transición, la orientación sobre trámites y el nuevo establecimiento fue limitada, el familar continuó gestionando parte del proceso, la primera consulta adulta exigió mayor participación de la paciente y la historia de la enfermedad tuvo que ser reconstruida más de una vez.</w:t>
      </w:r>
    </w:p>
    <w:p w:rsidR="00000000" w:rsidDel="00000000" w:rsidP="00000000" w:rsidRDefault="00000000" w:rsidRPr="00000000" w14:paraId="00000009">
      <w:pPr>
        <w:spacing w:after="120" w:before="120" w:lineRule="auto"/>
        <w:rPr>
          <w:b w:val="1"/>
          <w:bCs w:val="1"/>
        </w:rPr>
      </w:pPr>
      <w:r w:rsidDel="00000000" w:rsidR="00000000" w:rsidRPr="00000000">
        <w:rPr>
          <w:b w:val="1"/>
          <w:bCs w:val="1"/>
          <w:rtl w:val="0"/>
        </w:rPr>
        <w:t xml:space="preserve">3. Objetivo del producto</w:t>
      </w:r>
    </w:p>
    <w:p w:rsidR="00000000" w:rsidDel="00000000" w:rsidP="00000000" w:rsidRDefault="00000000" w:rsidRPr="00000000" w14:paraId="0000000A">
      <w:pPr>
        <w:spacing w:after="120" w:lineRule="auto"/>
        <w:rPr/>
      </w:pPr>
      <w:r w:rsidDel="00000000" w:rsidR="00000000" w:rsidRPr="00000000">
        <w:rPr>
          <w:rtl w:val="0"/>
        </w:rPr>
        <w:t xml:space="preserve">La aplicación acompañará al joven durante su transición para que pueda entender en qué etapa se encuentra, qué debe preparar, qué responsabilidades empieza a asumir, qué información necesita conservar y cómo continuar su atención en el servicio de adultos.</w:t>
      </w:r>
    </w:p>
    <w:p w:rsidR="00000000" w:rsidDel="00000000" w:rsidP="00000000" w:rsidRDefault="00000000" w:rsidRPr="00000000" w14:paraId="0000000B">
      <w:pPr>
        <w:spacing w:after="120" w:lineRule="auto"/>
        <w:rPr/>
      </w:pPr>
      <w:r w:rsidDel="00000000" w:rsidR="00000000" w:rsidRPr="00000000">
        <w:rPr>
          <w:rtl w:val="0"/>
        </w:rPr>
        <w:t xml:space="preserve">El valor principal estará en convertir una transición actualmente difusa en una ruta visible, personal y accionable. El producto debe ayudar a reducir desorientación, dependencia innecesaria, pérdida de información y omisión de tareas, sin depender de cambios en los sistemas hospitalarios para demostrar su utilidad.</w:t>
      </w:r>
    </w:p>
    <w:p w:rsidR="00000000" w:rsidDel="00000000" w:rsidP="00000000" w:rsidRDefault="00000000" w:rsidRPr="00000000" w14:paraId="0000000C">
      <w:pPr>
        <w:spacing w:after="120" w:before="120" w:lineRule="auto"/>
        <w:rPr>
          <w:b w:val="1"/>
          <w:bCs w:val="1"/>
        </w:rPr>
      </w:pPr>
      <w:r w:rsidDel="00000000" w:rsidR="00000000" w:rsidRPr="00000000">
        <w:rPr>
          <w:b w:val="1"/>
          <w:bCs w:val="1"/>
          <w:rtl w:val="0"/>
        </w:rPr>
        <w:t xml:space="preserve">4. Usuario y alcance</w:t>
      </w:r>
    </w:p>
    <w:p w:rsidR="00000000" w:rsidDel="00000000" w:rsidP="00000000" w:rsidRDefault="00000000" w:rsidRPr="00000000" w14:paraId="0000000D">
      <w:pPr>
        <w:spacing w:after="120" w:lineRule="auto"/>
        <w:rPr/>
      </w:pPr>
      <w:r w:rsidDel="00000000" w:rsidR="00000000" w:rsidRPr="00000000">
        <w:rPr>
          <w:rtl w:val="0"/>
        </w:rPr>
        <w:t xml:space="preserve">El usuario principal será el adolescente o joven que se encuentra en preparación, transferencia o adaptación a la atención adulta. La solución debe ser válida para distintas enfermedades crónicas, raras o complejas.</w:t>
      </w:r>
    </w:p>
    <w:p w:rsidR="00000000" w:rsidDel="00000000" w:rsidP="00000000" w:rsidRDefault="00000000" w:rsidRPr="00000000" w14:paraId="0000000E">
      <w:pPr>
        <w:spacing w:after="120" w:lineRule="auto"/>
        <w:rPr/>
      </w:pPr>
      <w:r w:rsidDel="00000000" w:rsidR="00000000" w:rsidRPr="00000000">
        <w:rPr>
          <w:rtl w:val="0"/>
        </w:rPr>
        <w:t xml:space="preserve">La familia o cuidador forma parte del contexto de apoyo porque actualmente puede encargarse de citas, documentos, medicación y antecedentes. En el demo no se requiere una cuenta independiente de cuidador; el producto puede representar qué actividades realiza el joven por sí mismo y en cuáles todavía recibe apoyo.</w:t>
      </w:r>
    </w:p>
    <w:p w:rsidR="00000000" w:rsidDel="00000000" w:rsidP="00000000" w:rsidRDefault="00000000" w:rsidRPr="00000000" w14:paraId="0000000F">
      <w:pPr>
        <w:spacing w:after="120" w:lineRule="auto"/>
        <w:rPr/>
      </w:pPr>
      <w:r w:rsidDel="00000000" w:rsidR="00000000" w:rsidRPr="00000000">
        <w:rPr>
          <w:rtl w:val="0"/>
        </w:rPr>
        <w:t xml:space="preserve">Los profesionales de pediatría y adultos son actores relevantes de la transición, pero el demo no requiere un portal médico ni una integración institucional. La información preparada en la aplicación podrá ser mostrada o compartida voluntariamente por el joven cuando resulte útil durante su atención.</w:t>
      </w:r>
    </w:p>
    <w:p w:rsidR="00000000" w:rsidDel="00000000" w:rsidP="00000000" w:rsidRDefault="00000000" w:rsidRPr="00000000" w14:paraId="00000010">
      <w:pPr>
        <w:spacing w:after="120" w:before="120" w:lineRule="auto"/>
        <w:rPr>
          <w:b w:val="1"/>
          <w:bCs w:val="1"/>
        </w:rPr>
      </w:pPr>
      <w:r w:rsidDel="00000000" w:rsidR="00000000" w:rsidRPr="00000000">
        <w:rPr>
          <w:b w:val="1"/>
          <w:bCs w:val="1"/>
          <w:rtl w:val="0"/>
        </w:rPr>
        <w:t xml:space="preserve">5. Lógica funcional del producto</w:t>
      </w:r>
    </w:p>
    <w:p w:rsidR="00000000" w:rsidDel="00000000" w:rsidP="00000000" w:rsidRDefault="00000000" w:rsidRPr="00000000" w14:paraId="00000011">
      <w:pPr>
        <w:spacing w:after="120" w:lineRule="auto"/>
        <w:rPr/>
      </w:pPr>
      <w:r w:rsidDel="00000000" w:rsidR="00000000" w:rsidRPr="00000000">
        <w:rPr>
          <w:rtl w:val="0"/>
        </w:rPr>
        <w:t xml:space="preserve">La experiencia se organizará alrededor de cinco necesidades que se mantienen independientemente de la enfermedad del paciente:</w:t>
      </w:r>
    </w:p>
    <w:p w:rsidR="00000000" w:rsidDel="00000000" w:rsidP="00000000" w:rsidRDefault="00000000" w:rsidRPr="00000000" w14:paraId="00000012">
      <w:pPr>
        <w:spacing w:after="60" w:lineRule="auto"/>
        <w:ind w:left="620" w:hanging="260"/>
        <w:rPr/>
      </w:pPr>
      <w:r w:rsidDel="00000000" w:rsidR="00000000" w:rsidRPr="00000000">
        <w:rPr>
          <w:rtl w:val="0"/>
        </w:rPr>
        <w:t xml:space="preserve">1. Entender la etapa actual de la transición y conocer el siguiente paso.</w:t>
      </w:r>
    </w:p>
    <w:p w:rsidR="00000000" w:rsidDel="00000000" w:rsidP="00000000" w:rsidRDefault="00000000" w:rsidRPr="00000000" w14:paraId="00000013">
      <w:pPr>
        <w:spacing w:after="60" w:lineRule="auto"/>
        <w:ind w:left="620" w:hanging="260"/>
        <w:rPr/>
      </w:pPr>
      <w:r w:rsidDel="00000000" w:rsidR="00000000" w:rsidRPr="00000000">
        <w:rPr>
          <w:rtl w:val="0"/>
        </w:rPr>
        <w:t xml:space="preserve">2. Identificar tareas, documentos, citas, controles y responsabilidades pendientes.</w:t>
      </w:r>
    </w:p>
    <w:p w:rsidR="00000000" w:rsidDel="00000000" w:rsidP="00000000" w:rsidRDefault="00000000" w:rsidRPr="00000000" w14:paraId="00000014">
      <w:pPr>
        <w:spacing w:after="60" w:lineRule="auto"/>
        <w:ind w:left="620" w:hanging="260"/>
        <w:rPr/>
      </w:pPr>
      <w:r w:rsidDel="00000000" w:rsidR="00000000" w:rsidRPr="00000000">
        <w:rPr>
          <w:rtl w:val="0"/>
        </w:rPr>
        <w:t xml:space="preserve">3. Desarrollar autonomía de forma progresiva, diferenciando lo que todavía hace con apoyo de lo que ya puede gestionar por sí mismo.</w:t>
      </w:r>
    </w:p>
    <w:p w:rsidR="00000000" w:rsidDel="00000000" w:rsidP="00000000" w:rsidRDefault="00000000" w:rsidRPr="00000000" w14:paraId="00000015">
      <w:pPr>
        <w:spacing w:after="60" w:lineRule="auto"/>
        <w:ind w:left="620" w:hanging="260"/>
        <w:rPr/>
      </w:pPr>
      <w:r w:rsidDel="00000000" w:rsidR="00000000" w:rsidRPr="00000000">
        <w:rPr>
          <w:rtl w:val="0"/>
        </w:rPr>
        <w:t xml:space="preserve">4. Conservar y comprender la información esencial de su trayectoria de salud para poder comunicarla cuando cambie de equipo o establecimiento.</w:t>
      </w:r>
    </w:p>
    <w:p w:rsidR="00000000" w:rsidDel="00000000" w:rsidP="00000000" w:rsidRDefault="00000000" w:rsidRPr="00000000" w14:paraId="00000016">
      <w:pPr>
        <w:spacing w:after="60" w:lineRule="auto"/>
        <w:ind w:left="620" w:hanging="260"/>
        <w:rPr/>
      </w:pPr>
      <w:r w:rsidDel="00000000" w:rsidR="00000000" w:rsidRPr="00000000">
        <w:rPr>
          <w:rtl w:val="0"/>
        </w:rPr>
        <w:t xml:space="preserve">5. Prepararse para la primera atención adulta y mantener continuidad durante los primeros meses posteriores a la transferencia.</w:t>
      </w:r>
    </w:p>
    <w:p w:rsidR="00000000" w:rsidDel="00000000" w:rsidP="00000000" w:rsidRDefault="00000000" w:rsidRPr="00000000" w14:paraId="00000017">
      <w:pPr>
        <w:spacing w:after="120" w:before="120" w:lineRule="auto"/>
        <w:rPr>
          <w:b w:val="1"/>
          <w:bCs w:val="1"/>
        </w:rPr>
      </w:pPr>
      <w:r w:rsidDel="00000000" w:rsidR="00000000" w:rsidRPr="00000000">
        <w:rPr>
          <w:b w:val="1"/>
          <w:bCs w:val="1"/>
          <w:rtl w:val="0"/>
        </w:rPr>
        <w:t xml:space="preserve">6. Ruta de transición propuesta</w:t>
      </w:r>
    </w:p>
    <w:p w:rsidR="00000000" w:rsidDel="00000000" w:rsidP="00000000" w:rsidRDefault="00000000" w:rsidRPr="00000000" w14:paraId="00000018">
      <w:pPr>
        <w:spacing w:after="120" w:lineRule="auto"/>
        <w:rPr/>
      </w:pPr>
      <w:r w:rsidDel="00000000" w:rsidR="00000000" w:rsidRPr="00000000">
        <w:rPr>
          <w:rtl w:val="0"/>
        </w:rPr>
        <w:t xml:space="preserve">La ruta general del producto puede estructurarse en cuatro etapas. Los nombres visuales pueden ajustarse en UX, pero la lógica de avance debe mantenerse:</w:t>
      </w:r>
    </w:p>
    <w:p w:rsidR="00000000" w:rsidDel="00000000" w:rsidP="00000000" w:rsidRDefault="00000000" w:rsidRPr="00000000" w14:paraId="00000019">
      <w:pPr>
        <w:spacing w:after="60" w:lineRule="auto"/>
        <w:ind w:left="560" w:hanging="200"/>
        <w:rPr/>
      </w:pPr>
      <w:r w:rsidDel="00000000" w:rsidR="00000000" w:rsidRPr="00000000">
        <w:rPr>
          <w:rtl w:val="0"/>
        </w:rPr>
        <w:t xml:space="preserve">• Preparación: conocer el cambio, el diagnóstico o condición, el tratamiento, las responsabilidades que deberá asumir, los documentos y el establecimiento de destino.</w:t>
      </w:r>
    </w:p>
    <w:p w:rsidR="00000000" w:rsidDel="00000000" w:rsidP="00000000" w:rsidRDefault="00000000" w:rsidRPr="00000000" w14:paraId="0000001A">
      <w:pPr>
        <w:spacing w:after="60" w:lineRule="auto"/>
        <w:ind w:left="560" w:hanging="200"/>
        <w:rPr/>
      </w:pPr>
      <w:r w:rsidDel="00000000" w:rsidR="00000000" w:rsidRPr="00000000">
        <w:rPr>
          <w:rtl w:val="0"/>
        </w:rPr>
        <w:t xml:space="preserve">• Transferencia: organizar referencia y documentos, registrar el servicio receptor, dar seguimiento a la obtención de cita y mantener visibles las tareas pendientes.</w:t>
      </w:r>
    </w:p>
    <w:p w:rsidR="00000000" w:rsidDel="00000000" w:rsidP="00000000" w:rsidRDefault="00000000" w:rsidRPr="00000000" w14:paraId="0000001B">
      <w:pPr>
        <w:spacing w:after="60" w:lineRule="auto"/>
        <w:ind w:left="560" w:hanging="200"/>
        <w:rPr/>
      </w:pPr>
      <w:r w:rsidDel="00000000" w:rsidR="00000000" w:rsidRPr="00000000">
        <w:rPr>
          <w:rtl w:val="0"/>
        </w:rPr>
        <w:t xml:space="preserve">• Primera atención adulta: preparar la consulta, revisar antecedentes y tratamiento, registrar preguntas y confirmar que la primera atención se realizó.</w:t>
      </w:r>
    </w:p>
    <w:p w:rsidR="00000000" w:rsidDel="00000000" w:rsidP="00000000" w:rsidRDefault="00000000" w:rsidRPr="00000000" w14:paraId="0000001C">
      <w:pPr>
        <w:spacing w:after="60" w:lineRule="auto"/>
        <w:ind w:left="560" w:hanging="200"/>
        <w:rPr/>
      </w:pPr>
      <w:r w:rsidDel="00000000" w:rsidR="00000000" w:rsidRPr="00000000">
        <w:rPr>
          <w:rtl w:val="0"/>
        </w:rPr>
        <w:t xml:space="preserve">• Continuidad y autonomía: mantener controles, recordatorios, información esencial y responsabilidades que el joven va asumiendo progresivamente.</w:t>
      </w:r>
    </w:p>
    <w:p w:rsidR="00000000" w:rsidDel="00000000" w:rsidP="00000000" w:rsidRDefault="00000000" w:rsidRPr="00000000" w14:paraId="0000001D">
      <w:pPr>
        <w:spacing w:after="120" w:lineRule="auto"/>
        <w:rPr/>
      </w:pPr>
      <w:r w:rsidDel="00000000" w:rsidR="00000000" w:rsidRPr="00000000">
        <w:rPr>
          <w:rtl w:val="0"/>
        </w:rPr>
        <w:t xml:space="preserve">El progreso de la ruta se determinará por hitos y actividades registradas por el usuario. No se utilizará un indicador que certifique que una persona está clínicamente preparada para ser transferida.</w:t>
      </w:r>
    </w:p>
    <w:p w:rsidR="00000000" w:rsidDel="00000000" w:rsidP="00000000" w:rsidRDefault="00000000" w:rsidRPr="00000000" w14:paraId="0000001E">
      <w:pPr>
        <w:spacing w:after="120" w:before="120" w:lineRule="auto"/>
        <w:rPr>
          <w:b w:val="1"/>
          <w:bCs w:val="1"/>
        </w:rPr>
      </w:pPr>
      <w:r w:rsidDel="00000000" w:rsidR="00000000" w:rsidRPr="00000000">
        <w:rPr>
          <w:b w:val="1"/>
          <w:bCs w:val="1"/>
          <w:rtl w:val="0"/>
        </w:rPr>
        <w:t xml:space="preserve">7. Núcleo funcional común</w:t>
      </w:r>
    </w:p>
    <w:p w:rsidR="00000000" w:rsidDel="00000000" w:rsidP="00000000" w:rsidRDefault="00000000" w:rsidRPr="00000000" w14:paraId="0000001F">
      <w:pPr>
        <w:spacing w:after="120" w:lineRule="auto"/>
        <w:rPr/>
      </w:pPr>
      <w:r w:rsidDel="00000000" w:rsidR="00000000" w:rsidRPr="00000000">
        <w:rPr>
          <w:rtl w:val="0"/>
        </w:rPr>
        <w:t xml:space="preserve">El núcleo común debe mantenerse útil aunque el paciente tenga una condición distinta a DM1. Para el demo se consideran como capacidades centrales:</w:t>
      </w:r>
    </w:p>
    <w:p w:rsidR="00000000" w:rsidDel="00000000" w:rsidP="00000000" w:rsidRDefault="00000000" w:rsidRPr="00000000" w14:paraId="00000020">
      <w:pPr>
        <w:spacing w:after="60" w:lineRule="auto"/>
        <w:ind w:left="560" w:hanging="200"/>
        <w:rPr/>
      </w:pPr>
      <w:r w:rsidDel="00000000" w:rsidR="00000000" w:rsidRPr="00000000">
        <w:rPr>
          <w:rtl w:val="0"/>
        </w:rPr>
        <w:t xml:space="preserve">• Inicio con estado de transición, avance, tareas pendientes y próxima acción.</w:t>
      </w:r>
    </w:p>
    <w:p w:rsidR="00000000" w:rsidDel="00000000" w:rsidP="00000000" w:rsidRDefault="00000000" w:rsidRPr="00000000" w14:paraId="00000021">
      <w:pPr>
        <w:spacing w:after="60" w:lineRule="auto"/>
        <w:ind w:left="560" w:hanging="200"/>
        <w:rPr/>
      </w:pPr>
      <w:r w:rsidDel="00000000" w:rsidR="00000000" w:rsidRPr="00000000">
        <w:rPr>
          <w:rtl w:val="0"/>
        </w:rPr>
        <w:t xml:space="preserve">• Ruta de transición con etapas e hitos.</w:t>
      </w:r>
    </w:p>
    <w:p w:rsidR="00000000" w:rsidDel="00000000" w:rsidP="00000000" w:rsidRDefault="00000000" w:rsidRPr="00000000" w14:paraId="00000022">
      <w:pPr>
        <w:spacing w:after="60" w:lineRule="auto"/>
        <w:ind w:left="560" w:hanging="200"/>
        <w:rPr/>
      </w:pPr>
      <w:r w:rsidDel="00000000" w:rsidR="00000000" w:rsidRPr="00000000">
        <w:rPr>
          <w:rtl w:val="0"/>
        </w:rPr>
        <w:t xml:space="preserve">• Checklist de preparación y responsabilidades.</w:t>
      </w:r>
    </w:p>
    <w:p w:rsidR="00000000" w:rsidDel="00000000" w:rsidP="00000000" w:rsidRDefault="00000000" w:rsidRPr="00000000" w14:paraId="00000023">
      <w:pPr>
        <w:spacing w:after="60" w:lineRule="auto"/>
        <w:ind w:left="560" w:hanging="200"/>
        <w:rPr/>
      </w:pPr>
      <w:r w:rsidDel="00000000" w:rsidR="00000000" w:rsidRPr="00000000">
        <w:rPr>
          <w:rtl w:val="0"/>
        </w:rPr>
        <w:t xml:space="preserve">• Progreso de autonomía mediante estados simples, por ejemplo: todavía me ayudan, lo hago con apoyo y lo hago yo.</w:t>
      </w:r>
    </w:p>
    <w:p w:rsidR="00000000" w:rsidDel="00000000" w:rsidP="00000000" w:rsidRDefault="00000000" w:rsidRPr="00000000" w14:paraId="00000024">
      <w:pPr>
        <w:spacing w:after="60" w:lineRule="auto"/>
        <w:ind w:left="560" w:hanging="200"/>
        <w:rPr/>
      </w:pPr>
      <w:r w:rsidDel="00000000" w:rsidR="00000000" w:rsidRPr="00000000">
        <w:rPr>
          <w:rtl w:val="0"/>
        </w:rPr>
        <w:t xml:space="preserve">• Información esencial de salud: diagnósticos o condiciones relevantes, tratamiento actual, alergias, antecedentes, procedimientos, dispositivos, controles y datos que el joven necesita conocer o comunicar.</w:t>
      </w:r>
    </w:p>
    <w:p w:rsidR="00000000" w:rsidDel="00000000" w:rsidP="00000000" w:rsidRDefault="00000000" w:rsidRPr="00000000" w14:paraId="00000025">
      <w:pPr>
        <w:spacing w:after="60" w:lineRule="auto"/>
        <w:ind w:left="560" w:hanging="200"/>
        <w:rPr/>
      </w:pPr>
      <w:r w:rsidDel="00000000" w:rsidR="00000000" w:rsidRPr="00000000">
        <w:rPr>
          <w:rtl w:val="0"/>
        </w:rPr>
        <w:t xml:space="preserve">• Resumen de transición estructurado para revisar, mostrar o compartir de forma voluntaria.</w:t>
      </w:r>
    </w:p>
    <w:p w:rsidR="00000000" w:rsidDel="00000000" w:rsidP="00000000" w:rsidRDefault="00000000" w:rsidRPr="00000000" w14:paraId="00000026">
      <w:pPr>
        <w:spacing w:after="60" w:lineRule="auto"/>
        <w:ind w:left="560" w:hanging="200"/>
        <w:rPr/>
      </w:pPr>
      <w:r w:rsidDel="00000000" w:rsidR="00000000" w:rsidRPr="00000000">
        <w:rPr>
          <w:rtl w:val="0"/>
        </w:rPr>
        <w:t xml:space="preserve">• Información del establecimiento o servicio adulto de destino y orientación práctica sobre el cambio.</w:t>
      </w:r>
    </w:p>
    <w:p w:rsidR="00000000" w:rsidDel="00000000" w:rsidP="00000000" w:rsidRDefault="00000000" w:rsidRPr="00000000" w14:paraId="00000027">
      <w:pPr>
        <w:spacing w:after="60" w:lineRule="auto"/>
        <w:ind w:left="560" w:hanging="200"/>
        <w:rPr/>
      </w:pPr>
      <w:r w:rsidDel="00000000" w:rsidR="00000000" w:rsidRPr="00000000">
        <w:rPr>
          <w:rtl w:val="0"/>
        </w:rPr>
        <w:t xml:space="preserve">• Registro de citas, controles y actividades vinculadas con la transición.</w:t>
      </w:r>
    </w:p>
    <w:p w:rsidR="00000000" w:rsidDel="00000000" w:rsidP="00000000" w:rsidRDefault="00000000" w:rsidRPr="00000000" w14:paraId="00000028">
      <w:pPr>
        <w:spacing w:after="60" w:lineRule="auto"/>
        <w:ind w:left="560" w:hanging="200"/>
        <w:rPr/>
      </w:pPr>
      <w:r w:rsidDel="00000000" w:rsidR="00000000" w:rsidRPr="00000000">
        <w:rPr>
          <w:rtl w:val="0"/>
        </w:rPr>
        <w:t xml:space="preserve">• Recordatorios locales.</w:t>
      </w:r>
    </w:p>
    <w:p w:rsidR="00000000" w:rsidDel="00000000" w:rsidP="00000000" w:rsidRDefault="00000000" w:rsidRPr="00000000" w14:paraId="00000029">
      <w:pPr>
        <w:spacing w:after="60" w:lineRule="auto"/>
        <w:ind w:left="560" w:hanging="200"/>
        <w:rPr/>
      </w:pPr>
      <w:r w:rsidDel="00000000" w:rsidR="00000000" w:rsidRPr="00000000">
        <w:rPr>
          <w:rtl w:val="0"/>
        </w:rPr>
        <w:t xml:space="preserve">• Preparación para la primera consulta adulta: documentos, antecedentes, tratamiento actual y preguntas.</w:t>
      </w:r>
    </w:p>
    <w:p w:rsidR="00000000" w:rsidDel="00000000" w:rsidP="00000000" w:rsidRDefault="00000000" w:rsidRPr="00000000" w14:paraId="0000002A">
      <w:pPr>
        <w:spacing w:after="60" w:lineRule="auto"/>
        <w:ind w:left="560" w:hanging="200"/>
        <w:rPr/>
      </w:pPr>
      <w:r w:rsidDel="00000000" w:rsidR="00000000" w:rsidRPr="00000000">
        <w:rPr>
          <w:rtl w:val="0"/>
        </w:rPr>
        <w:t xml:space="preserve">• Confirmación de hitos de continuidad, como referencia recibida, cita programada y primera atención realizada.</w:t>
      </w:r>
    </w:p>
    <w:p w:rsidR="00000000" w:rsidDel="00000000" w:rsidP="00000000" w:rsidRDefault="00000000" w:rsidRPr="00000000" w14:paraId="0000002B">
      <w:pPr>
        <w:spacing w:after="60" w:lineRule="auto"/>
        <w:ind w:left="560" w:hanging="200"/>
        <w:rPr/>
      </w:pPr>
      <w:r w:rsidDel="00000000" w:rsidR="00000000" w:rsidRPr="00000000">
        <w:rPr>
          <w:rtl w:val="0"/>
        </w:rPr>
        <w:t xml:space="preserve">• Contenido educativo breve relacionado con la transición, las nuevas responsabilidades y el autocuidado.</w:t>
      </w:r>
    </w:p>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8. Personalización por condición de salud (punto de enfoque a la escalabilidad)</w:t>
      </w:r>
    </w:p>
    <w:p w:rsidR="00000000" w:rsidDel="00000000" w:rsidP="00000000" w:rsidRDefault="00000000" w:rsidRPr="00000000" w14:paraId="0000002D">
      <w:pPr>
        <w:spacing w:after="120" w:lineRule="auto"/>
        <w:rPr/>
      </w:pPr>
      <w:r w:rsidDel="00000000" w:rsidR="00000000" w:rsidRPr="00000000">
        <w:rPr>
          <w:rtl w:val="0"/>
        </w:rPr>
        <w:t xml:space="preserve">El caso de DM1 se utilizará como escenario demostrativo completo porque es la fuente de campo con mayor profundidad. La aplicación debe permitir que el núcleo de transición se complemente con herramientas y contenidos específicos según la condición del usuario. Esta separación permite demostrar personalización sin convertir las funciones propias de DM1 en requisitos para todos los pacientes.</w:t>
      </w:r>
    </w:p>
    <w:p w:rsidR="00000000" w:rsidDel="00000000" w:rsidP="00000000" w:rsidRDefault="00000000" w:rsidRPr="00000000" w14:paraId="0000002E">
      <w:pPr>
        <w:spacing w:after="120" w:lineRule="auto"/>
        <w:rPr/>
      </w:pPr>
      <w:r w:rsidDel="00000000" w:rsidR="00000000" w:rsidRPr="00000000">
        <w:rPr>
          <w:rtl w:val="0"/>
        </w:rPr>
        <w:t xml:space="preserve">Para el caso DM1 se consideran dos capacidades específicas que sí tienen sustento en la entrevista y el Journey Map:</w:t>
      </w:r>
    </w:p>
    <w:p w:rsidR="00000000" w:rsidDel="00000000" w:rsidP="00000000" w:rsidRDefault="00000000" w:rsidRPr="00000000" w14:paraId="0000002F">
      <w:pPr>
        <w:spacing w:after="60" w:lineRule="auto"/>
        <w:ind w:left="560" w:hanging="200"/>
        <w:rPr/>
      </w:pPr>
      <w:r w:rsidDel="00000000" w:rsidR="00000000" w:rsidRPr="00000000">
        <w:rPr>
          <w:rtl w:val="0"/>
        </w:rPr>
        <w:t xml:space="preserve">• Registro y visualización simple de glucosa, orientado a organizar información y observar valores registrados a lo largo del tiempo.</w:t>
      </w:r>
    </w:p>
    <w:p w:rsidR="00000000" w:rsidDel="00000000" w:rsidP="00000000" w:rsidRDefault="00000000" w:rsidRPr="00000000" w14:paraId="00000030">
      <w:pPr>
        <w:spacing w:after="60" w:lineRule="auto"/>
        <w:ind w:left="560" w:hanging="200"/>
        <w:rPr/>
      </w:pPr>
      <w:r w:rsidDel="00000000" w:rsidR="00000000" w:rsidRPr="00000000">
        <w:rPr>
          <w:rtl w:val="0"/>
        </w:rPr>
        <w:t xml:space="preserve">• Herramienta de alimentación centrada en carbohidratos y porciones, como apoyo educativo para comprender el contenido de los alimentos.</w:t>
      </w:r>
    </w:p>
    <w:p w:rsidR="00000000" w:rsidDel="00000000" w:rsidP="00000000" w:rsidRDefault="00000000" w:rsidRPr="00000000" w14:paraId="00000031">
      <w:pPr>
        <w:spacing w:after="120" w:lineRule="auto"/>
        <w:rPr/>
      </w:pPr>
      <w:r w:rsidDel="00000000" w:rsidR="00000000" w:rsidRPr="00000000">
        <w:rPr>
          <w:rtl w:val="0"/>
        </w:rPr>
        <w:t xml:space="preserve">La entrevista señala de forma expresa que la paciente considera útil registrar glucosa y tratamiento para observar cambios a lo largo del tiempo. También identifica el cálculo de carbohidratos como una habilidad relevante dentro del manejo cotidiano de la DM1 y de la autonomía.</w:t>
      </w:r>
    </w:p>
    <w:p w:rsidR="00000000" w:rsidDel="00000000" w:rsidP="00000000" w:rsidRDefault="00000000" w:rsidRPr="00000000" w14:paraId="00000032">
      <w:pPr>
        <w:spacing w:after="120" w:before="120" w:lineRule="auto"/>
        <w:rPr>
          <w:b w:val="1"/>
          <w:bCs w:val="1"/>
        </w:rPr>
      </w:pPr>
      <w:r w:rsidDel="00000000" w:rsidR="00000000" w:rsidRPr="00000000">
        <w:rPr>
          <w:b w:val="1"/>
          <w:bCs w:val="1"/>
          <w:rtl w:val="0"/>
        </w:rPr>
        <w:t xml:space="preserve">9. Criterio para la herramienta de alimentación</w:t>
      </w:r>
    </w:p>
    <w:p w:rsidR="00000000" w:rsidDel="00000000" w:rsidP="00000000" w:rsidRDefault="00000000" w:rsidRPr="00000000" w14:paraId="00000033">
      <w:pPr>
        <w:spacing w:after="120" w:lineRule="auto"/>
        <w:rPr/>
      </w:pPr>
      <w:r w:rsidDel="00000000" w:rsidR="00000000" w:rsidRPr="00000000">
        <w:rPr>
          <w:rtl w:val="0"/>
        </w:rPr>
        <w:t xml:space="preserve">La propuesta inicial de una calculadora de calorías se ajusta a una guía o estimador de carbohidratos. En DM1, el conteo de carbohidratos tiene una relación más directa con el manejo de la glucosa que una cifra aislada de calorías. La American Diabetes Association(ADA) señala que el conteo de carbohidratos puede ser una herramienta efectiva para el manejo de la glucosa y que en personas con DM1 la cantidad adecuada depende del tratamiento y de necesidades individuales.</w:t>
      </w:r>
    </w:p>
    <w:p w:rsidR="00000000" w:rsidDel="00000000" w:rsidP="00000000" w:rsidRDefault="00000000" w:rsidRPr="00000000" w14:paraId="00000034">
      <w:pPr>
        <w:spacing w:after="120" w:lineRule="auto"/>
        <w:rPr/>
      </w:pPr>
      <w:r w:rsidDel="00000000" w:rsidR="00000000" w:rsidRPr="00000000">
        <w:rPr>
          <w:rtl w:val="0"/>
        </w:rPr>
        <w:t xml:space="preserve">Para el demo, la herramienta podrá mostrar alimentos precargados, porciones y una estimación de carbohidratos. Las calorías pueden aparecer como información nutricional secundaria si aportan valor, pero la aplicación no debe clasificar alimentos como permitidos o prohibidos ni calcular unidades de insulina. El cálculo de dosis depende de parámetros individuales y corresponde a una función con un nivel de riesgo clínico mayor.</w:t>
      </w:r>
    </w:p>
    <w:p w:rsidR="00000000" w:rsidDel="00000000" w:rsidP="00000000" w:rsidRDefault="00000000" w:rsidRPr="00000000" w14:paraId="00000035">
      <w:pPr>
        <w:spacing w:after="120" w:before="120" w:lineRule="auto"/>
        <w:rPr>
          <w:b w:val="1"/>
          <w:bCs w:val="1"/>
        </w:rPr>
      </w:pPr>
      <w:r w:rsidDel="00000000" w:rsidR="00000000" w:rsidRPr="00000000">
        <w:rPr>
          <w:b w:val="1"/>
          <w:bCs w:val="1"/>
          <w:rtl w:val="0"/>
        </w:rPr>
        <w:t xml:space="preserve">10. Criterio para el gráfico de glucosa</w:t>
      </w:r>
    </w:p>
    <w:p w:rsidR="00000000" w:rsidDel="00000000" w:rsidP="00000000" w:rsidRDefault="00000000" w:rsidRPr="00000000" w14:paraId="00000036">
      <w:pPr>
        <w:spacing w:after="120" w:lineRule="auto"/>
        <w:rPr/>
      </w:pPr>
      <w:r w:rsidDel="00000000" w:rsidR="00000000" w:rsidRPr="00000000">
        <w:rPr>
          <w:rtl w:val="0"/>
        </w:rPr>
        <w:t xml:space="preserve">El gráfico de glucosa puede incorporarse al módulo DM1 siempre que se limite a registrar y representar los valores ingresados o precargados para el demo. Su función será ayudar al usuario a ordenar su información y observar la evolución de sus propios registros.</w:t>
      </w:r>
    </w:p>
    <w:p w:rsidR="00000000" w:rsidDel="00000000" w:rsidP="00000000" w:rsidRDefault="00000000" w:rsidRPr="00000000" w14:paraId="00000037">
      <w:pPr>
        <w:spacing w:after="120" w:lineRule="auto"/>
        <w:rPr/>
      </w:pPr>
      <w:r w:rsidDel="00000000" w:rsidR="00000000" w:rsidRPr="00000000">
        <w:rPr>
          <w:rtl w:val="0"/>
        </w:rPr>
        <w:t xml:space="preserve">No se incluirán interpretaciones automáticas, diagnóstico, predicción de riesgo, modificación de tratamiento ni recomendaciones de dosis a partir del gráfico. Como referencia de seguridad funcional, la FDA diferencia entre funciones que almacenan o muestran datos sin analizarlos y funciones que procesan datos específicos del paciente para orientar decisiones clínicas. Esta referencia se utiliza únicamente como criterio de diseño seguro y no como una conclusión regulatoria para el Perú.</w:t>
      </w:r>
    </w:p>
    <w:p w:rsidR="00000000" w:rsidDel="00000000" w:rsidP="00000000" w:rsidRDefault="00000000" w:rsidRPr="00000000" w14:paraId="00000038">
      <w:pPr>
        <w:spacing w:after="120" w:before="120" w:lineRule="auto"/>
        <w:rPr>
          <w:b w:val="1"/>
          <w:bCs w:val="1"/>
        </w:rPr>
      </w:pPr>
      <w:r w:rsidDel="00000000" w:rsidR="00000000" w:rsidRPr="00000000">
        <w:rPr>
          <w:b w:val="1"/>
          <w:bCs w:val="1"/>
          <w:rtl w:val="0"/>
        </w:rPr>
        <w:t xml:space="preserve">11. Transferencia y continuidad dentro del demo</w:t>
      </w:r>
    </w:p>
    <w:p w:rsidR="00000000" w:rsidDel="00000000" w:rsidP="00000000" w:rsidRDefault="00000000" w:rsidRPr="00000000" w14:paraId="00000039">
      <w:pPr>
        <w:spacing w:after="120" w:lineRule="auto"/>
        <w:rPr/>
      </w:pPr>
      <w:r w:rsidDel="00000000" w:rsidR="00000000" w:rsidRPr="00000000">
        <w:rPr>
          <w:rtl w:val="0"/>
        </w:rPr>
        <w:t xml:space="preserve">La aplicación representará la transferencia mediante hitos que el usuario pueda confirmar: preparación de documentos, referencia recibida, servicio adulto identificado, cita obtenida, primera consulta preparada y primera atención realizada.</w:t>
      </w:r>
    </w:p>
    <w:p w:rsidR="00000000" w:rsidDel="00000000" w:rsidP="00000000" w:rsidRDefault="00000000" w:rsidRPr="00000000" w14:paraId="0000003A">
      <w:pPr>
        <w:spacing w:after="120" w:lineRule="auto"/>
        <w:rPr/>
      </w:pPr>
      <w:r w:rsidDel="00000000" w:rsidR="00000000" w:rsidRPr="00000000">
        <w:rPr>
          <w:rtl w:val="0"/>
        </w:rPr>
        <w:t xml:space="preserve">El resumen de transición será la pieza que concentra la información que el joven necesita conocer y comunicar. Esto responde a la fragmentación encontrada en el caso de estudio y a la necesidad señalada por el desafío de contar con información estructurada para la continuidad.</w:t>
      </w:r>
    </w:p>
    <w:p w:rsidR="00000000" w:rsidDel="00000000" w:rsidP="00000000" w:rsidRDefault="00000000" w:rsidRPr="00000000" w14:paraId="0000003B">
      <w:pPr>
        <w:spacing w:after="120" w:lineRule="auto"/>
        <w:rPr/>
      </w:pPr>
      <w:r w:rsidDel="00000000" w:rsidR="00000000" w:rsidRPr="00000000">
        <w:rPr>
          <w:rtl w:val="0"/>
        </w:rPr>
        <w:t xml:space="preserve">La comunicación directa entre sistemas o equipos de salud se mantiene como una evolución posterior que requiere integración institucional. El demo podrá demostrar valor completo desde el lado del paciente sin depender de APIs, historia clínica interoperable o disponibilidad real de citas.</w:t>
      </w:r>
    </w:p>
    <w:p w:rsidR="00000000" w:rsidDel="00000000" w:rsidP="00000000" w:rsidRDefault="00000000" w:rsidRPr="00000000" w14:paraId="0000003C">
      <w:pPr>
        <w:spacing w:after="120" w:before="120" w:lineRule="auto"/>
        <w:rPr>
          <w:b w:val="1"/>
          <w:bCs w:val="1"/>
        </w:rPr>
      </w:pPr>
      <w:r w:rsidDel="00000000" w:rsidR="00000000" w:rsidRPr="00000000">
        <w:rPr>
          <w:b w:val="1"/>
          <w:bCs w:val="1"/>
          <w:rtl w:val="0"/>
        </w:rPr>
        <w:t xml:space="preserve">12. Funcionamiento offline y datos del demo</w:t>
      </w:r>
    </w:p>
    <w:p w:rsidR="00000000" w:rsidDel="00000000" w:rsidP="00000000" w:rsidRDefault="00000000" w:rsidRPr="00000000" w14:paraId="0000003D">
      <w:pPr>
        <w:spacing w:after="120" w:lineRule="auto"/>
        <w:rPr/>
      </w:pPr>
      <w:r w:rsidDel="00000000" w:rsidR="00000000" w:rsidRPr="00000000">
        <w:rPr>
          <w:rtl w:val="0"/>
        </w:rPr>
        <w:t xml:space="preserve">El recorrido principal funcionará sin conexión a Internet. La ruta, checklist, información de salud, resumen, contenidos, citas, recordatorios y herramientas demostrativas se resolverán con datos locales.</w:t>
      </w:r>
    </w:p>
    <w:p w:rsidR="00000000" w:rsidDel="00000000" w:rsidP="00000000" w:rsidRDefault="00000000" w:rsidRPr="00000000" w14:paraId="0000003E">
      <w:pPr>
        <w:spacing w:after="120" w:lineRule="auto"/>
        <w:rPr/>
      </w:pPr>
      <w:r w:rsidDel="00000000" w:rsidR="00000000" w:rsidRPr="00000000">
        <w:rPr>
          <w:rtl w:val="0"/>
        </w:rPr>
        <w:t xml:space="preserve">Se utilizará un paciente ficticio con datos sintéticos. El caso DM1 servirá como escenario narrativo para recorrer la preparación, la transferencia, la primera atención adulta y la consolidación de autonomía. No se utilizarán datos identificables de paciente o de la persona entrevistada.</w:t>
      </w:r>
    </w:p>
    <w:p w:rsidR="00000000" w:rsidDel="00000000" w:rsidP="00000000" w:rsidRDefault="00000000" w:rsidRPr="00000000" w14:paraId="0000003F">
      <w:pPr>
        <w:spacing w:after="120" w:before="120" w:lineRule="auto"/>
        <w:rPr>
          <w:b w:val="1"/>
          <w:bCs w:val="1"/>
        </w:rPr>
      </w:pPr>
      <w:r w:rsidDel="00000000" w:rsidR="00000000" w:rsidRPr="00000000">
        <w:rPr>
          <w:b w:val="1"/>
          <w:bCs w:val="1"/>
          <w:rtl w:val="0"/>
        </w:rPr>
        <w:t xml:space="preserve">13. Alcance del demo para la hackatón</w:t>
      </w:r>
    </w:p>
    <w:p w:rsidR="00000000" w:rsidDel="00000000" w:rsidP="00000000" w:rsidRDefault="00000000" w:rsidRPr="00000000" w14:paraId="00000040">
      <w:pPr>
        <w:spacing w:after="120" w:lineRule="auto"/>
        <w:rPr/>
      </w:pPr>
      <w:r w:rsidDel="00000000" w:rsidR="00000000" w:rsidRPr="00000000">
        <w:rPr>
          <w:rtl w:val="0"/>
        </w:rPr>
        <w:t xml:space="preserve">El demo debe priorizar un recorrido completo antes que una cantidad alta de pantallas. El orden de construcción propuesto es:</w:t>
      </w:r>
    </w:p>
    <w:p w:rsidR="00000000" w:rsidDel="00000000" w:rsidP="00000000" w:rsidRDefault="00000000" w:rsidRPr="00000000" w14:paraId="00000041">
      <w:pPr>
        <w:spacing w:after="60" w:lineRule="auto"/>
        <w:ind w:left="620" w:hanging="260"/>
        <w:rPr/>
      </w:pPr>
      <w:r w:rsidDel="00000000" w:rsidR="00000000" w:rsidRPr="00000000">
        <w:rPr>
          <w:rtl w:val="0"/>
        </w:rPr>
        <w:t xml:space="preserve">1. Inicio y estado de transición.</w:t>
      </w:r>
    </w:p>
    <w:p w:rsidR="00000000" w:rsidDel="00000000" w:rsidP="00000000" w:rsidRDefault="00000000" w:rsidRPr="00000000" w14:paraId="00000042">
      <w:pPr>
        <w:spacing w:after="60" w:lineRule="auto"/>
        <w:ind w:left="620" w:hanging="260"/>
        <w:rPr/>
      </w:pPr>
      <w:r w:rsidDel="00000000" w:rsidR="00000000" w:rsidRPr="00000000">
        <w:rPr>
          <w:rtl w:val="0"/>
        </w:rPr>
        <w:t xml:space="preserve">2. Ruta, checklist y progreso de autonomía.</w:t>
      </w:r>
    </w:p>
    <w:p w:rsidR="00000000" w:rsidDel="00000000" w:rsidP="00000000" w:rsidRDefault="00000000" w:rsidRPr="00000000" w14:paraId="00000043">
      <w:pPr>
        <w:spacing w:after="60" w:lineRule="auto"/>
        <w:ind w:left="620" w:hanging="260"/>
        <w:rPr/>
      </w:pPr>
      <w:r w:rsidDel="00000000" w:rsidR="00000000" w:rsidRPr="00000000">
        <w:rPr>
          <w:rtl w:val="0"/>
        </w:rPr>
        <w:t xml:space="preserve">3. Información esencial de salud y resumen de transición.</w:t>
      </w:r>
    </w:p>
    <w:p w:rsidR="00000000" w:rsidDel="00000000" w:rsidP="00000000" w:rsidRDefault="00000000" w:rsidRPr="00000000" w14:paraId="00000044">
      <w:pPr>
        <w:spacing w:after="60" w:lineRule="auto"/>
        <w:ind w:left="620" w:hanging="260"/>
        <w:rPr/>
      </w:pPr>
      <w:r w:rsidDel="00000000" w:rsidR="00000000" w:rsidRPr="00000000">
        <w:rPr>
          <w:rtl w:val="0"/>
        </w:rPr>
        <w:t xml:space="preserve">4. Preparación de la primera consulta y registro de hitos.</w:t>
      </w:r>
    </w:p>
    <w:p w:rsidR="00000000" w:rsidDel="00000000" w:rsidP="00000000" w:rsidRDefault="00000000" w:rsidRPr="00000000" w14:paraId="00000045">
      <w:pPr>
        <w:spacing w:after="60" w:lineRule="auto"/>
        <w:ind w:left="620" w:hanging="260"/>
        <w:rPr/>
      </w:pPr>
      <w:r w:rsidDel="00000000" w:rsidR="00000000" w:rsidRPr="00000000">
        <w:rPr>
          <w:rtl w:val="0"/>
        </w:rPr>
        <w:t xml:space="preserve">5. Contenido y orientación del servicio adulto.</w:t>
      </w:r>
    </w:p>
    <w:p w:rsidR="00000000" w:rsidDel="00000000" w:rsidP="00000000" w:rsidRDefault="00000000" w:rsidRPr="00000000" w14:paraId="00000046">
      <w:pPr>
        <w:spacing w:after="60" w:lineRule="auto"/>
        <w:ind w:left="620" w:hanging="260"/>
        <w:rPr/>
      </w:pPr>
      <w:r w:rsidDel="00000000" w:rsidR="00000000" w:rsidRPr="00000000">
        <w:rPr>
          <w:rtl w:val="0"/>
        </w:rPr>
        <w:t xml:space="preserve">6. Personalización DM1 con estimador de carbohidratos y gráfico simple de glucosa, una vez que el recorrido principal esté cerrado.</w:t>
      </w:r>
    </w:p>
    <w:p w:rsidR="00000000" w:rsidDel="00000000" w:rsidP="00000000" w:rsidRDefault="00000000" w:rsidRPr="00000000" w14:paraId="00000047">
      <w:pPr>
        <w:spacing w:after="120" w:lineRule="auto"/>
        <w:rPr/>
      </w:pPr>
      <w:r w:rsidDel="00000000" w:rsidR="00000000" w:rsidRPr="00000000">
        <w:rPr>
          <w:rtl w:val="0"/>
        </w:rPr>
        <w:t xml:space="preserve">Con desarrollo Android nativo en Kotlin y Jetpack Compose, datos locales y contenido precargado, este alcance es compatible con un demo construido de manera incremental y asistida por desarrollo agéntico. Las funciones DM1 son técnicamente acotadas si se mantienen como captura, cálculo informativo simple y visualización, sin integrar dispositivos, servicios externos ni lógica terapéutica.</w:t>
      </w:r>
    </w:p>
    <w:p w:rsidR="00000000" w:rsidDel="00000000" w:rsidP="00000000" w:rsidRDefault="00000000" w:rsidRPr="00000000" w14:paraId="00000048">
      <w:pPr>
        <w:spacing w:after="120" w:before="120" w:lineRule="auto"/>
        <w:rPr>
          <w:b w:val="1"/>
          <w:bCs w:val="1"/>
        </w:rPr>
      </w:pPr>
      <w:r w:rsidDel="00000000" w:rsidR="00000000" w:rsidRPr="00000000">
        <w:rPr>
          <w:b w:val="1"/>
          <w:bCs w:val="1"/>
          <w:rtl w:val="0"/>
        </w:rPr>
        <w:t xml:space="preserve">14. Límites funcionales cerrados para esta etapa</w:t>
      </w:r>
    </w:p>
    <w:p w:rsidR="00000000" w:rsidDel="00000000" w:rsidP="00000000" w:rsidRDefault="00000000" w:rsidRPr="00000000" w14:paraId="00000049">
      <w:pPr>
        <w:spacing w:after="60" w:lineRule="auto"/>
        <w:ind w:left="560" w:hanging="200"/>
        <w:rPr/>
      </w:pPr>
      <w:r w:rsidDel="00000000" w:rsidR="00000000" w:rsidRPr="00000000">
        <w:rPr>
          <w:rtl w:val="0"/>
        </w:rPr>
        <w:t xml:space="preserve">• No se calcularán ni recomendarán dosis de insulina.</w:t>
      </w:r>
    </w:p>
    <w:p w:rsidR="00000000" w:rsidDel="00000000" w:rsidP="00000000" w:rsidRDefault="00000000" w:rsidRPr="00000000" w14:paraId="0000004A">
      <w:pPr>
        <w:spacing w:after="60" w:lineRule="auto"/>
        <w:ind w:left="560" w:hanging="200"/>
        <w:rPr/>
      </w:pPr>
      <w:r w:rsidDel="00000000" w:rsidR="00000000" w:rsidRPr="00000000">
        <w:rPr>
          <w:rtl w:val="0"/>
        </w:rPr>
        <w:t xml:space="preserve">• No se modificarán tratamientos.</w:t>
      </w:r>
    </w:p>
    <w:p w:rsidR="00000000" w:rsidDel="00000000" w:rsidP="00000000" w:rsidRDefault="00000000" w:rsidRPr="00000000" w14:paraId="0000004B">
      <w:pPr>
        <w:spacing w:after="60" w:lineRule="auto"/>
        <w:ind w:left="560" w:hanging="200"/>
        <w:rPr/>
      </w:pPr>
      <w:r w:rsidDel="00000000" w:rsidR="00000000" w:rsidRPr="00000000">
        <w:rPr>
          <w:rtl w:val="0"/>
        </w:rPr>
        <w:t xml:space="preserve">• No se interpretarán automáticamente valores de glucosa.</w:t>
      </w:r>
    </w:p>
    <w:p w:rsidR="00000000" w:rsidDel="00000000" w:rsidP="00000000" w:rsidRDefault="00000000" w:rsidRPr="00000000" w14:paraId="0000004C">
      <w:pPr>
        <w:spacing w:after="60" w:lineRule="auto"/>
        <w:ind w:left="560" w:hanging="200"/>
        <w:rPr/>
      </w:pPr>
      <w:r w:rsidDel="00000000" w:rsidR="00000000" w:rsidRPr="00000000">
        <w:rPr>
          <w:rtl w:val="0"/>
        </w:rPr>
        <w:t xml:space="preserve">• No se emitirán diagnósticos ni predicciones clínicas.</w:t>
      </w:r>
    </w:p>
    <w:p w:rsidR="00000000" w:rsidDel="00000000" w:rsidP="00000000" w:rsidRDefault="00000000" w:rsidRPr="00000000" w14:paraId="0000004D">
      <w:pPr>
        <w:spacing w:after="60" w:lineRule="auto"/>
        <w:ind w:left="560" w:hanging="200"/>
        <w:rPr/>
      </w:pPr>
      <w:r w:rsidDel="00000000" w:rsidR="00000000" w:rsidRPr="00000000">
        <w:rPr>
          <w:rtl w:val="0"/>
        </w:rPr>
        <w:t xml:space="preserve">• No se dependerá de APIs hospitalarias, SIS, historias clínicas interoperables o agendas institucionales.</w:t>
      </w:r>
    </w:p>
    <w:p w:rsidR="00000000" w:rsidDel="00000000" w:rsidP="00000000" w:rsidRDefault="00000000" w:rsidRPr="00000000" w14:paraId="0000004E">
      <w:pPr>
        <w:spacing w:after="60" w:lineRule="auto"/>
        <w:ind w:left="560" w:hanging="200"/>
        <w:rPr/>
      </w:pPr>
      <w:r w:rsidDel="00000000" w:rsidR="00000000" w:rsidRPr="00000000">
        <w:rPr>
          <w:rtl w:val="0"/>
        </w:rPr>
        <w:t xml:space="preserve">• No se requerirán cuentas de médicos o cuidadores para el recorrido principal.</w:t>
      </w:r>
    </w:p>
    <w:p w:rsidR="00000000" w:rsidDel="00000000" w:rsidP="00000000" w:rsidRDefault="00000000" w:rsidRPr="00000000" w14:paraId="0000004F">
      <w:pPr>
        <w:spacing w:after="60" w:lineRule="auto"/>
        <w:ind w:left="560" w:hanging="200"/>
        <w:rPr/>
      </w:pPr>
      <w:r w:rsidDel="00000000" w:rsidR="00000000" w:rsidRPr="00000000">
        <w:rPr>
          <w:rtl w:val="0"/>
        </w:rPr>
        <w:t xml:space="preserve">• Las alertas del demo corresponderán a tareas, fechas, citas o controles registrados, no a valoración de riesgo médico.</w:t>
      </w:r>
    </w:p>
    <w:p w:rsidR="00000000" w:rsidDel="00000000" w:rsidP="00000000" w:rsidRDefault="00000000" w:rsidRPr="00000000" w14:paraId="00000050">
      <w:pPr>
        <w:spacing w:after="60" w:lineRule="auto"/>
        <w:ind w:left="560" w:hanging="200"/>
        <w:rPr/>
      </w:pPr>
      <w:r w:rsidDel="00000000" w:rsidR="00000000" w:rsidRPr="00000000">
        <w:rPr>
          <w:rtl w:val="0"/>
        </w:rPr>
        <w:t xml:space="preserve">• Las herramientas específicas de una condición se mantendrán separadas del núcleo transversal de transición.</w:t>
      </w:r>
    </w:p>
    <w:p w:rsidR="00000000" w:rsidDel="00000000" w:rsidP="00000000" w:rsidRDefault="00000000" w:rsidRPr="00000000" w14:paraId="00000051">
      <w:pPr>
        <w:spacing w:after="120" w:before="120" w:lineRule="auto"/>
        <w:rPr>
          <w:b w:val="1"/>
          <w:bCs w:val="1"/>
        </w:rPr>
      </w:pPr>
      <w:r w:rsidDel="00000000" w:rsidR="00000000" w:rsidRPr="00000000">
        <w:rPr>
          <w:b w:val="1"/>
          <w:bCs w:val="1"/>
          <w:rtl w:val="0"/>
        </w:rPr>
        <w:t xml:space="preserve">15. Nombre del producto</w:t>
      </w:r>
    </w:p>
    <w:p w:rsidR="00000000" w:rsidDel="00000000" w:rsidP="00000000" w:rsidRDefault="00000000" w:rsidRPr="00000000" w14:paraId="00000052">
      <w:pPr>
        <w:spacing w:after="120" w:lineRule="auto"/>
        <w:rPr/>
      </w:pPr>
      <w:r w:rsidDel="00000000" w:rsidR="00000000" w:rsidRPr="00000000">
        <w:rPr>
          <w:rtl w:val="0"/>
        </w:rPr>
        <w:t xml:space="preserve">El nombre de la aplicación queda pendiente. El nombre deberá validarse antes de cerrar la identidad visual.</w:t>
      </w:r>
    </w:p>
    <w:p w:rsidR="00000000" w:rsidDel="00000000" w:rsidP="00000000" w:rsidRDefault="00000000" w:rsidRPr="00000000" w14:paraId="00000053">
      <w:pPr>
        <w:spacing w:after="120" w:before="120" w:lineRule="auto"/>
        <w:rPr>
          <w:b w:val="1"/>
          <w:bCs w:val="1"/>
        </w:rPr>
      </w:pPr>
      <w:r w:rsidDel="00000000" w:rsidR="00000000" w:rsidRPr="00000000">
        <w:rPr>
          <w:b w:val="1"/>
          <w:bCs w:val="1"/>
          <w:rtl w:val="0"/>
        </w:rPr>
        <w:t xml:space="preserve">16. Decisiones de producto cerradas en esta etapa</w:t>
      </w:r>
    </w:p>
    <w:p w:rsidR="00000000" w:rsidDel="00000000" w:rsidP="00000000" w:rsidRDefault="00000000" w:rsidRPr="00000000" w14:paraId="00000054">
      <w:pPr>
        <w:spacing w:after="60" w:lineRule="auto"/>
        <w:ind w:left="560" w:hanging="200"/>
        <w:rPr/>
      </w:pPr>
      <w:r w:rsidDel="00000000" w:rsidR="00000000" w:rsidRPr="00000000">
        <w:rPr>
          <w:rtl w:val="0"/>
        </w:rPr>
        <w:t xml:space="preserve">• El producto está dirigido a jóvenes en transición con enfermedades crónicas, raras o complejas.</w:t>
      </w:r>
    </w:p>
    <w:p w:rsidR="00000000" w:rsidDel="00000000" w:rsidP="00000000" w:rsidRDefault="00000000" w:rsidRPr="00000000" w14:paraId="00000055">
      <w:pPr>
        <w:spacing w:after="60" w:lineRule="auto"/>
        <w:ind w:left="560" w:hanging="200"/>
        <w:rPr/>
      </w:pPr>
      <w:r w:rsidDel="00000000" w:rsidR="00000000" w:rsidRPr="00000000">
        <w:rPr>
          <w:rtl w:val="0"/>
        </w:rPr>
        <w:t xml:space="preserve">• DM1 será el caso de estudio y el escenario demostrativo principal, no el único tipo de condición contemplado por el producto.</w:t>
      </w:r>
    </w:p>
    <w:p w:rsidR="00000000" w:rsidDel="00000000" w:rsidP="00000000" w:rsidRDefault="00000000" w:rsidRPr="00000000" w14:paraId="00000056">
      <w:pPr>
        <w:spacing w:after="60" w:lineRule="auto"/>
        <w:ind w:left="560" w:hanging="200"/>
        <w:rPr/>
      </w:pPr>
      <w:r w:rsidDel="00000000" w:rsidR="00000000" w:rsidRPr="00000000">
        <w:rPr>
          <w:rtl w:val="0"/>
        </w:rPr>
        <w:t xml:space="preserve">• La autonomía progresiva, la ruta, la información esencial y la continuidad forman el núcleo de la propuesta.</w:t>
      </w:r>
    </w:p>
    <w:p w:rsidR="00000000" w:rsidDel="00000000" w:rsidP="00000000" w:rsidRDefault="00000000" w:rsidRPr="00000000" w14:paraId="00000057">
      <w:pPr>
        <w:spacing w:after="60" w:lineRule="auto"/>
        <w:ind w:left="560" w:hanging="200"/>
        <w:rPr/>
      </w:pPr>
      <w:r w:rsidDel="00000000" w:rsidR="00000000" w:rsidRPr="00000000">
        <w:rPr>
          <w:rtl w:val="0"/>
        </w:rPr>
        <w:t xml:space="preserve">• El producto tendrá un núcleo común y módulos o contenidos específicos por condición.</w:t>
      </w:r>
    </w:p>
    <w:p w:rsidR="00000000" w:rsidDel="00000000" w:rsidP="00000000" w:rsidRDefault="00000000" w:rsidRPr="00000000" w14:paraId="00000058">
      <w:pPr>
        <w:spacing w:after="60" w:lineRule="auto"/>
        <w:ind w:left="560" w:hanging="200"/>
        <w:rPr/>
      </w:pPr>
      <w:r w:rsidDel="00000000" w:rsidR="00000000" w:rsidRPr="00000000">
        <w:rPr>
          <w:rtl w:val="0"/>
        </w:rPr>
        <w:t xml:space="preserve">• El demo DM1 podrá incluir un estimador de carbohidratos y un gráfico simple de glucosa como funciones específicas y secundarias.</w:t>
      </w:r>
    </w:p>
    <w:p w:rsidR="00000000" w:rsidDel="00000000" w:rsidP="00000000" w:rsidRDefault="00000000" w:rsidRPr="00000000" w14:paraId="00000059">
      <w:pPr>
        <w:spacing w:after="60" w:lineRule="auto"/>
        <w:ind w:left="560" w:hanging="200"/>
        <w:rPr/>
      </w:pPr>
      <w:r w:rsidDel="00000000" w:rsidR="00000000" w:rsidRPr="00000000">
        <w:rPr>
          <w:rtl w:val="0"/>
        </w:rPr>
        <w:t xml:space="preserve">• La función nutricional será informativa; no decidirá qué puede comer el usuario ni calculará insulina.</w:t>
      </w:r>
    </w:p>
    <w:p w:rsidR="00000000" w:rsidDel="00000000" w:rsidP="00000000" w:rsidRDefault="00000000" w:rsidRPr="00000000" w14:paraId="0000005A">
      <w:pPr>
        <w:spacing w:after="60" w:lineRule="auto"/>
        <w:ind w:left="560" w:hanging="200"/>
        <w:rPr/>
      </w:pPr>
      <w:r w:rsidDel="00000000" w:rsidR="00000000" w:rsidRPr="00000000">
        <w:rPr>
          <w:rtl w:val="0"/>
        </w:rPr>
        <w:t xml:space="preserve">• El gráfico mostrará registros; no interpretará clínicamente los datos.</w:t>
      </w:r>
    </w:p>
    <w:p w:rsidR="00000000" w:rsidDel="00000000" w:rsidP="00000000" w:rsidRDefault="00000000" w:rsidRPr="00000000" w14:paraId="0000005B">
      <w:pPr>
        <w:spacing w:after="60" w:lineRule="auto"/>
        <w:ind w:left="560" w:hanging="200"/>
        <w:rPr/>
      </w:pPr>
      <w:r w:rsidDel="00000000" w:rsidR="00000000" w:rsidRPr="00000000">
        <w:rPr>
          <w:rtl w:val="0"/>
        </w:rPr>
        <w:t xml:space="preserve">• El recorrido principal será offline y con datos sintéticos.</w:t>
      </w:r>
    </w:p>
    <w:p w:rsidR="00000000" w:rsidDel="00000000" w:rsidP="00000000" w:rsidRDefault="00000000" w:rsidRPr="00000000" w14:paraId="0000005C">
      <w:pPr>
        <w:spacing w:after="120" w:before="120" w:lineRule="auto"/>
        <w:rPr>
          <w:b w:val="1"/>
          <w:bCs w:val="1"/>
        </w:rPr>
      </w:pPr>
      <w:r w:rsidDel="00000000" w:rsidR="00000000" w:rsidRPr="00000000">
        <w:rPr>
          <w:b w:val="1"/>
          <w:bCs w:val="1"/>
          <w:rtl w:val="0"/>
        </w:rPr>
        <w:t xml:space="preserve">17. Fuentes consideradas</w:t>
      </w:r>
    </w:p>
    <w:p w:rsidR="00000000" w:rsidDel="00000000" w:rsidP="00000000" w:rsidRDefault="00000000" w:rsidRPr="00000000" w14:paraId="0000005D">
      <w:pPr>
        <w:spacing w:after="120" w:lineRule="auto"/>
        <w:rPr/>
      </w:pPr>
      <w:r w:rsidDel="00000000" w:rsidR="00000000" w:rsidRPr="00000000">
        <w:rPr>
          <w:rtl w:val="0"/>
        </w:rPr>
        <w:t xml:space="preserve">Fuentes internas: Resumen oficial del desafío Puente 18+; Journey Map de transición DM1; entrevista y transcripción del caso de estudio DM1; lineamientos del proyecto de Conexión Salud.</w:t>
      </w:r>
    </w:p>
    <w:p w:rsidR="00000000" w:rsidDel="00000000" w:rsidP="00000000" w:rsidRDefault="00000000" w:rsidRPr="00000000" w14:paraId="0000005E">
      <w:pPr>
        <w:spacing w:after="120" w:lineRule="auto"/>
        <w:rPr/>
      </w:pPr>
      <w:r w:rsidDel="00000000" w:rsidR="00000000" w:rsidRPr="00000000">
        <w:rPr>
          <w:rtl w:val="0"/>
        </w:rPr>
        <w:t xml:space="preserve">Referencias externas utilizadas únicamente para sustentar las decisiones de seguridad funcional del módulo DM1: American Diabetes Association, material sobre conteo de carbohidratos y Standards of Care in Diabetes 2026; U.S. Food and Drug Administration, criterios sobre funciones de software que muestran datos de salud y funciones de mayor riesgo clínico.</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