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0F3C73"/>
          <w:sz w:val="40"/>
        </w:rPr>
        <w:t>Topological Neuro-Symbolic Engine (T-NSE): Object-Centric Spatial Induction for the Abstraction and Reasoning Corpus</w:t>
      </w:r>
    </w:p>
    <w:p>
      <w:pPr>
        <w:spacing w:after="80"/>
      </w:pPr>
      <w:r>
        <w:rPr>
          <w:b/>
        </w:rPr>
        <w:t>Official Technical Paper — Kaggle ARC Prize 2026 (Paper Track)</w:t>
      </w:r>
    </w:p>
    <w:p>
      <w:pPr>
        <w:spacing w:after="80"/>
      </w:pPr>
      <w:r>
        <w:rPr>
          <w:b/>
        </w:rPr>
        <w:t>Track:</w:t>
      </w:r>
      <w:r>
        <w:t xml:space="preserve"> Main Track (ARC-AGI-2 / ARC-AGI-3)</w:t>
      </w:r>
    </w:p>
    <w:p>
      <w:pPr>
        <w:spacing w:after="80"/>
      </w:pPr>
      <w:r>
        <w:rPr>
          <w:b/>
        </w:rPr>
        <w:t>Author:</w:t>
      </w:r>
      <w:r>
        <w:t xml:space="preserve"> Emerson Noé José dos Santos</w:t>
      </w:r>
    </w:p>
    <w:p>
      <w:pPr>
        <w:spacing w:after="80"/>
      </w:pPr>
      <w:r>
        <w:rPr>
          <w:b/>
        </w:rPr>
        <w:t>Official Verified Submission ID (Main Track):</w:t>
      </w:r>
      <w:r>
        <w:t xml:space="preserve"> </w:t>
      </w:r>
      <w:r>
        <w:rPr>
          <w:rFonts w:ascii="Consolas" w:hAnsi="Consolas"/>
          <w:color w:val="B41E1E"/>
          <w:sz w:val="19"/>
        </w:rPr>
        <w:t>57107077</w:t>
      </w:r>
      <w:r>
        <w:t xml:space="preserve"> (T-NSE v6)</w:t>
      </w:r>
    </w:p>
    <w:p>
      <w:pPr>
        <w:spacing w:after="80"/>
      </w:pPr>
      <w:r>
        <w:rPr>
          <w:b/>
        </w:rPr>
        <w:t>Project Notebook:</w:t>
      </w:r>
      <w:r>
        <w:t xml:space="preserve"> </w:t>
      </w:r>
      <w:r>
        <w:rPr>
          <w:rFonts w:ascii="Consolas" w:hAnsi="Consolas"/>
          <w:color w:val="B41E1E"/>
          <w:sz w:val="19"/>
        </w:rPr>
        <w:t>Neuro-Simbolic_Espacial_Topologico_ARC.ipynb</w:t>
      </w:r>
    </w:p>
    <w:p>
      <w:pPr>
        <w:spacing w:after="80"/>
      </w:pPr>
      <w:r>
        <w:rPr>
          <w:b/>
        </w:rPr>
        <w:t>Official Repository:</w:t>
      </w:r>
      <w:r>
        <w:t xml:space="preserve"> [github.com/emersonnjsantos/Arq_Neuro-Simbolic_Espacial_Topologico_ARC](https://github.com/emersonnjsantos/Arq_Neuro-Simbolic_Espacial_Topologico_ARC)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Executive Abstract</w:t>
      </w:r>
    </w:p>
    <w:p>
      <w:pPr>
        <w:spacing w:after="80"/>
      </w:pPr>
      <w:r>
        <w:t>The *Abstraction and Reasoning Corpus* (ARC) challenges artificial intelligence systems to acquire novel skills from a handful of demonstrations without task-specific pre-training. Dominant AI paradigms face a fundamental dichotomy: large language models (LLMs) and vision-language models (VLMs) suffer from spatial blindness and coordinate hallucinations caused by serializing 2D discrete grids into 1D token sequences; conversely, pure brute-force symbolic program synthesis quickly collapses due to combinatorial explosion $\mathcal{O}(|\mathcal{D}|^L)$.</w:t>
      </w:r>
    </w:p>
    <w:p>
      <w:pPr>
        <w:spacing w:after="80"/>
      </w:pPr>
      <w:r>
        <w:t xml:space="preserve">To bridge this divide, we introduce the </w:t>
      </w:r>
      <w:r>
        <w:rPr>
          <w:b/>
        </w:rPr>
        <w:t>Topological Neuro-Symbolic Engine (T-NSE)</w:t>
      </w:r>
      <w:r>
        <w:t>. T-NSE decouples visual reasoning into three synergistic stages grounded in cognitive *Core Knowledge priors*:</w:t>
      </w:r>
    </w:p>
    <w:p>
      <w:pPr>
        <w:pStyle w:val="ListNumber"/>
        <w:spacing w:after="60"/>
      </w:pPr>
      <w:r>
        <w:rPr>
          <w:b/>
        </w:rPr>
        <w:t>Topological Object Perception:</w:t>
      </w:r>
      <w:r>
        <w:t xml:space="preserve"> Discrete decomposition of the input lattice into invariant physical entities and coherent boundary manifolds using configurable connectivity (4- or 8-connectivity);</w:t>
      </w:r>
    </w:p>
    <w:p>
      <w:pPr>
        <w:pStyle w:val="ListNumber"/>
        <w:spacing w:after="60"/>
      </w:pPr>
      <w:r>
        <w:rPr>
          <w:b/>
        </w:rPr>
        <w:t>Topological Scene Graph (TSG):</w:t>
      </w:r>
      <w:r>
        <w:t xml:space="preserve"> Construction of an attributed relational graph capturing spatial adjacency, enclosure within interior cavities (topological holes), and relative centroid offset vectors;</w:t>
      </w:r>
    </w:p>
    <w:p>
      <w:pPr>
        <w:pStyle w:val="ListNumber"/>
        <w:spacing w:after="60"/>
      </w:pPr>
      <w:r>
        <w:rPr>
          <w:b/>
        </w:rPr>
        <w:t>Hypothesis-Pruned Symbolic Synthesis with Deterministic Verification:</w:t>
      </w:r>
      <w:r>
        <w:t xml:space="preserve"> Shortest-first search over a compact, strongly-typed Domain-Specific Language (DSL), pruned by relational heuristics and strictly verified under zero loss ($\text{Loss} = 0$) across 100% of demonstration pairs.</w:t>
      </w:r>
    </w:p>
    <w:p>
      <w:pPr>
        <w:spacing w:after="80"/>
      </w:pPr>
      <w:r>
        <w:t xml:space="preserve">The architecture was implemented end-to-end in Python/NumPy, validated on canonical ARC benchmarks (including official challenge </w:t>
      </w:r>
      <w:r>
        <w:rPr>
          <w:rFonts w:ascii="Consolas" w:hAnsi="Consolas"/>
          <w:color w:val="B41E1E"/>
          <w:sz w:val="19"/>
        </w:rPr>
        <w:t>007bbfb7</w:t>
      </w:r>
      <w:r>
        <w:t xml:space="preserve">), and executed offline inside Kaggle's evaluation environment, achieving an officially scored entry under </w:t>
      </w:r>
      <w:r>
        <w:rPr>
          <w:b/>
        </w:rPr>
        <w:t>Submission ID `57107077`</w:t>
      </w:r>
      <w:r>
        <w:t>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1. Theoretical Motivation &amp; The "Why" (Theory &amp; Progress)</w:t>
      </w:r>
    </w:p>
    <w:p>
      <w:pPr>
        <w:spacing w:before="240" w:after="60"/>
      </w:pPr>
      <w:r>
        <w:rPr>
          <w:b/>
          <w:color w:val="1E5AA0"/>
          <w:sz w:val="23"/>
        </w:rPr>
        <w:t>1.1 The Pitfalls of Connectionism and Blind Symbolism</w:t>
      </w:r>
    </w:p>
    <w:p>
      <w:pPr>
        <w:spacing w:after="80"/>
      </w:pPr>
      <w:r>
        <w:t>ARC (Chollet, 2019) was designed to measure *skill-acquisition efficiency* rather than crystallized statistical knowledge. Deep connectionist architectures and autoregressive LLMs treat $H \times W$ grids as flattened string sequences. This linearization destroys fundamental two-dimensional topological locality, rendering models incapable of systematically verifying spatial predicates such as "lies inside a cavity", "touches the boundary", or "preserves bilateral symmetry".</w:t>
      </w:r>
    </w:p>
    <w:p>
      <w:pPr>
        <w:spacing w:after="80"/>
      </w:pPr>
      <w:r>
        <w:t>On the other hand, addressing ARC through unguided brute-force search over a domain-specific language leads to an intractable combinatorial search space:</w:t>
      </w:r>
    </w:p>
    <w:p>
      <w:pPr>
        <w:spacing w:after="80"/>
      </w:pPr>
      <w:r>
        <w:t>$$\mathcal{N}(L) = \sum_{d=1}^{L} |\mathcal{D}|^d$$</w:t>
      </w:r>
    </w:p>
    <w:p>
      <w:pPr>
        <w:spacing w:after="80"/>
      </w:pPr>
      <w:r>
        <w:t>Even for a modest vocabulary of $|\mathcal{D}| = 75$ primitives, evaluating compositions up to depth $L = 3$ requires testing more than $420,000$ candidate programs per task. In competitions such as ARC-AGI-2, where over 100 hidden tasks must be solved within strict offline CPU quotas, blind search inevitably triggers runtime timeouts and out-of-memory errors.</w:t>
      </w:r>
    </w:p>
    <w:p>
      <w:pPr>
        <w:spacing w:before="240" w:after="60"/>
      </w:pPr>
      <w:r>
        <w:rPr>
          <w:b/>
          <w:color w:val="1E5AA0"/>
          <w:sz w:val="23"/>
        </w:rPr>
        <w:t>1.2 Cognitive Foundations: Core Knowledge Priors</w:t>
      </w:r>
    </w:p>
    <w:p>
      <w:pPr>
        <w:spacing w:after="80"/>
      </w:pPr>
      <w:r>
        <w:t>Human solvers solve most ARC tasks within seconds without thousands of gradient updates. This efficiency originates from *Core Knowledge Priors* (Spelke &amp; Kinzler, 2007; Chollet, 2019):</w:t>
      </w:r>
    </w:p>
    <w:p>
      <w:pPr>
        <w:pStyle w:val="ListBullet"/>
        <w:spacing w:after="60"/>
      </w:pPr>
      <w:r>
        <w:rPr>
          <w:b/>
        </w:rPr>
        <w:t>Objectness &amp; Cohesion:</w:t>
      </w:r>
      <w:r>
        <w:t xml:space="preserve"> Contiguous same-colored pixels move and transform as solid, indivisible physical objects;</w:t>
      </w:r>
    </w:p>
    <w:p>
      <w:pPr>
        <w:pStyle w:val="ListBullet"/>
        <w:spacing w:after="60"/>
      </w:pPr>
      <w:r>
        <w:rPr>
          <w:b/>
        </w:rPr>
        <w:t>Topological Invariants:</w:t>
      </w:r>
      <w:r>
        <w:t xml:space="preserve"> Connectivity, closed contours, and the number of enclosed cavities (discrete analogues of the Euler characteristic) persist across translation, rotation, and non-destructive recoloring;</w:t>
      </w:r>
    </w:p>
    <w:p>
      <w:pPr>
        <w:pStyle w:val="ListBullet"/>
        <w:spacing w:after="60"/>
      </w:pPr>
      <w:r>
        <w:rPr>
          <w:b/>
        </w:rPr>
        <w:t>Goal-Directed Morphisms:</w:t>
      </w:r>
      <w:r>
        <w:t xml:space="preserve"> Transformations between input and output represent structured operations applied to identified entities rather than arbitrary pixel-level noise.</w:t>
      </w:r>
    </w:p>
    <w:p>
      <w:pPr>
        <w:spacing w:after="80"/>
      </w:pPr>
      <w:r>
        <w:t>T-NSE explicitly bakes these three axioms into its representational state, shrinking the search space from raw pixel lattice configurations ($\sim 10^{900}$ states on $30 \times 30$ grids) down to structured object graph morphisms ($\sim 10^3$ verified candidate programs).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2. Mathematical Formalization of the Architecture (Completeness &amp; Novelty)</w:t>
      </w:r>
    </w:p>
    <w:p>
      <w:pPr>
        <w:spacing w:after="80"/>
      </w:pPr>
      <w:r>
        <w:t>T-NSE organizes spatial induction into an end-to-end deterministic pipeline structured across five sequential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Pipeline Stage</w:t>
            </w:r>
          </w:p>
        </w:tc>
        <w:tc>
          <w:tcPr>
            <w:tcW w:type="dxa" w:w="234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Implementation Module</w:t>
            </w:r>
          </w:p>
        </w:tc>
        <w:tc>
          <w:tcPr>
            <w:tcW w:type="dxa" w:w="234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Formal Operation &amp; Mathematical Mechanism</w:t>
            </w:r>
          </w:p>
        </w:tc>
        <w:tc>
          <w:tcPr>
            <w:tcW w:type="dxa" w:w="234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Output Representation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0. Raw Ingestion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Input Grid $\mathbf{G}$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Parse raw task JSON into discrete 2D integer lattice $\mathbf{G} \in \{0,\dots,9\}^{H \times W}$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Raw Discrete Lattice</w:t>
            </w:r>
          </w:p>
        </w:tc>
      </w:tr>
      <w:tr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Stage 1 · Perception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ARCObjectExtractor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Multilayer color filtering; 4- or 8-connectivity labeling (OpenCV / pure-NumPy BFS)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Entity Set $\mathcal{O} = \{o_i = \langle c_i, \mathcal{M}_i, \mathbf{b}_i, A_i, \mathbf{c}_i \rangle\}$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Stage 2 · Topology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build_scene_graph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Boundary flood-fill cavity detection (</w:t>
            </w:r>
            <w:r>
              <w:rPr>
                <w:rFonts w:ascii="Calibri" w:hAnsi="Calibri"/>
                <w:color w:val="B41E1E"/>
                <w:sz w:val="18"/>
              </w:rPr>
              <w:t>enclosed_cells</w:t>
            </w:r>
            <w:r>
              <w:rPr>
                <w:rFonts w:ascii="Calibri" w:hAnsi="Calibri"/>
                <w:sz w:val="18"/>
              </w:rPr>
              <w:t>); typed relation extraction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 xml:space="preserve">Attributed Graph $\mathcal{G} = (\mathcal{V}, \mathcal{E})$ with </w:t>
            </w:r>
            <w:r>
              <w:rPr>
                <w:rFonts w:ascii="Calibri" w:hAnsi="Calibri"/>
                <w:color w:val="B41E1E"/>
                <w:sz w:val="18"/>
              </w:rPr>
              <w:t>contains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/>
                <w:color w:val="B41E1E"/>
                <w:sz w:val="18"/>
              </w:rPr>
              <w:t>adjacent</w:t>
            </w:r>
            <w:r>
              <w:rPr>
                <w:rFonts w:ascii="Calibri" w:hAnsi="Calibri"/>
                <w:sz w:val="18"/>
              </w:rPr>
              <w:t>, $\Delta\mathbf{c}_{ij}$</w:t>
            </w:r>
          </w:p>
        </w:tc>
      </w:tr>
      <w:tr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Stage 3 · Pruning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prune_dsl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Pairwise training deltas (shape preservation, scale factor, transpositions, active colors)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Filtered Sub-DSL $\mathcal{D}^* \subset \mathcal{D}$ (3 to 15 active primitives)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Stage 4 · Synthesis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ARCSymbolicEngine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Shortest-first enumerative search (depth 1–2); verification loss $\sum \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P(I_k) - O_k\</w:t>
            </w:r>
          </w:p>
        </w:tc>
      </w:tr>
      <w:tr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Stage 5 · Inference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Submission Generator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 xml:space="preserve">Apply $P^*(I_{\text{test}})$; compile </w:t>
            </w:r>
            <w:r>
              <w:rPr>
                <w:rFonts w:ascii="Calibri" w:hAnsi="Calibri"/>
                <w:color w:val="B41E1E"/>
                <w:sz w:val="18"/>
              </w:rPr>
              <w:t>attempt_1</w:t>
            </w:r>
            <w:r>
              <w:rPr>
                <w:rFonts w:ascii="Calibri" w:hAnsi="Calibri"/>
                <w:sz w:val="18"/>
              </w:rPr>
              <w:t xml:space="preserve"> &amp; </w:t>
            </w:r>
            <w:r>
              <w:rPr>
                <w:rFonts w:ascii="Calibri" w:hAnsi="Calibri"/>
                <w:color w:val="B41E1E"/>
                <w:sz w:val="18"/>
              </w:rPr>
              <w:t>attempt_2</w:t>
            </w:r>
            <w:r>
              <w:rPr>
                <w:rFonts w:ascii="Calibri" w:hAnsi="Calibri"/>
                <w:sz w:val="18"/>
              </w:rPr>
              <w:t xml:space="preserve"> into </w:t>
            </w:r>
            <w:r>
              <w:rPr>
                <w:rFonts w:ascii="Calibri" w:hAnsi="Calibri"/>
                <w:color w:val="B41E1E"/>
                <w:sz w:val="18"/>
              </w:rPr>
              <w:t>/kaggle/working/submission.json</w:t>
            </w:r>
          </w:p>
        </w:tc>
        <w:tc>
          <w:tcPr>
            <w:tcW w:type="dxa" w:w="234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Scored Kaggle ARC-AGI-2 Submission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b/>
          <w:color w:val="1E5AA0"/>
          <w:sz w:val="23"/>
        </w:rPr>
        <w:t>2.1 Discrete Perception and Object Extraction</w:t>
      </w:r>
    </w:p>
    <w:p>
      <w:pPr>
        <w:spacing w:after="80"/>
      </w:pPr>
      <w:r>
        <w:t>Given an input discrete lattice $\mathbf{G} \in \{0, \dots, 9\}^{H \times W}$, background cells ($c = 0$) are segregated, and each foreground color $c \in \{1, \dots, 9\}$ is segmented into connected components. Every detected object $o_i$ is formalized as a 5-tuple:</w:t>
      </w:r>
    </w:p>
    <w:p>
      <w:pPr>
        <w:spacing w:after="80"/>
      </w:pPr>
      <w:r>
        <w:t>$$o_i = \langle c_i, \mathcal{M}_i, \mathbf{b}_i, A_i, \mathbf{c}_i \rangle$$</w:t>
      </w:r>
    </w:p>
    <w:p>
      <w:pPr>
        <w:spacing w:after="80"/>
      </w:pPr>
      <w:r>
        <w:t>Where:</w:t>
      </w:r>
    </w:p>
    <w:p>
      <w:pPr>
        <w:pStyle w:val="ListBullet"/>
        <w:spacing w:after="60"/>
      </w:pPr>
      <w:r>
        <w:t>$c_i \in \{1, \dots, 9\}$ is the categorical color label;</w:t>
      </w:r>
    </w:p>
    <w:p>
      <w:pPr>
        <w:pStyle w:val="ListBullet"/>
        <w:spacing w:after="60"/>
      </w:pPr>
      <w:r>
        <w:t>$\mathcal{M}_i \in \{0, 1\}^{H \times W}$ is the binary spatial support mask;</w:t>
      </w:r>
    </w:p>
    <w:p>
      <w:pPr>
        <w:pStyle w:val="ListBullet"/>
        <w:spacing w:after="60"/>
      </w:pPr>
      <w:r>
        <w:t>$\mathbf{b}_i = (x_i, y_i, w_i, h_i)$ is the minimal axis-aligned bounding box;</w:t>
      </w:r>
    </w:p>
    <w:p>
      <w:pPr>
        <w:pStyle w:val="ListBullet"/>
        <w:spacing w:after="60"/>
      </w:pPr>
      <w:r>
        <w:t>$A_i = \sum_{x,y} \mathcal{M}_i(x,y)$ is the discrete pixel mass;</w:t>
      </w:r>
    </w:p>
    <w:p>
      <w:pPr>
        <w:pStyle w:val="ListBullet"/>
        <w:spacing w:after="60"/>
      </w:pPr>
      <w:r>
        <w:t>$\mathbf{c}_i = (\bar{x}_i, \bar{y}_i)$ is the spatial centroid.</w:t>
      </w:r>
    </w:p>
    <w:p>
      <w:pPr>
        <w:spacing w:after="80"/>
      </w:pPr>
      <w:r>
        <w:rPr>
          <w:b/>
        </w:rPr>
        <w:t>Configurable Discrete Topology:</w:t>
      </w:r>
      <w:r>
        <w:t xml:space="preserve"> Component connectivity is parameterized via </w:t>
      </w:r>
      <w:r>
        <w:rPr>
          <w:rFonts w:ascii="Consolas" w:hAnsi="Consolas"/>
          <w:color w:val="B41E1E"/>
          <w:sz w:val="19"/>
        </w:rPr>
        <w:t>connectivity=4</w:t>
      </w:r>
      <w:r>
        <w:t xml:space="preserve"> (ARC's strict orthogonal convention) or </w:t>
      </w:r>
      <w:r>
        <w:rPr>
          <w:rFonts w:ascii="Consolas" w:hAnsi="Consolas"/>
          <w:color w:val="B41E1E"/>
          <w:sz w:val="19"/>
        </w:rPr>
        <w:t>connectivity=8</w:t>
      </w:r>
      <w:r>
        <w:t xml:space="preserve"> (diagonal merging). The labeling module wraps </w:t>
      </w:r>
      <w:r>
        <w:rPr>
          <w:rFonts w:ascii="Consolas" w:hAnsi="Consolas"/>
          <w:color w:val="B41E1E"/>
          <w:sz w:val="19"/>
        </w:rPr>
        <w:t>cv2.connectedComponents</w:t>
      </w:r>
      <w:r>
        <w:t xml:space="preserve"> when OpenCV is present, with an automatic fallback to pure NumPy Breadth-First Search (BFS) to guarantee zero-dependency reproducibility.</w:t>
      </w:r>
    </w:p>
    <w:p>
      <w:pPr>
        <w:spacing w:before="240" w:after="60"/>
      </w:pPr>
      <w:r>
        <w:rPr>
          <w:b/>
          <w:color w:val="1E5AA0"/>
          <w:sz w:val="23"/>
        </w:rPr>
        <w:t>2.2 The Topological Scene Graph (TSG)</w:t>
      </w:r>
    </w:p>
    <w:p>
      <w:pPr>
        <w:spacing w:after="80"/>
      </w:pPr>
      <w:r>
        <w:t>Visual perception is represented as a directed attributed relational graph $\mathcal{G} = (\mathcal{V}, \mathcal{E})$, where vertices $\mathcal{V} = \{o_1, \dots, o_n\}$ denote isolated physical objects and directed edges $e_{ij} = (o_i, o_j, r, \Delta \mathbf{c}_{ij}) \in \mathcal{E}$ encode exact spatial predicates:</w:t>
      </w:r>
    </w:p>
    <w:p>
      <w:pPr>
        <w:pStyle w:val="ListNumber"/>
        <w:spacing w:after="60"/>
      </w:pPr>
      <w:r>
        <w:rPr>
          <w:b/>
        </w:rPr>
        <w:t>Topological Containment (`contains`):</w:t>
      </w:r>
      <w:r>
        <w:t xml:space="preserve"> Object $o_j$ is entirely enveloped within an interior cavity (hole) of $o_i$. Cavities are computed via </w:t>
      </w:r>
      <w:r>
        <w:rPr>
          <w:rFonts w:ascii="Consolas" w:hAnsi="Consolas"/>
          <w:color w:val="B41E1E"/>
          <w:sz w:val="19"/>
        </w:rPr>
        <w:t>enclosed_cells(\mathcal{M}_i)</w:t>
      </w:r>
      <w:r>
        <w:t>: a flood-fill from all four grid boundaries marks empty exterior pixels; any non-mask cell unreachable from the boundary constitutes an interior hole. Each node records its hole cell count ($n_{\text{hole}}$).</w:t>
      </w:r>
    </w:p>
    <w:p>
      <w:pPr>
        <w:pStyle w:val="ListNumber"/>
        <w:spacing w:after="60"/>
      </w:pPr>
      <w:r>
        <w:rPr>
          <w:b/>
        </w:rPr>
        <w:t>Orthogonal Adjacency (`adjacent`):</w:t>
      </w:r>
      <w:r>
        <w:t xml:space="preserve"> Support masks of $o_i$ and $o_j$ touch with a Manhattan distance $\le 1$ ($\text{dist}(\mathcal{M}_i, \mathcal{M}_j) \le 1$).</w:t>
      </w:r>
    </w:p>
    <w:p>
      <w:pPr>
        <w:pStyle w:val="ListNumber"/>
        <w:spacing w:after="60"/>
      </w:pPr>
      <w:r>
        <w:rPr>
          <w:b/>
        </w:rPr>
        <w:t>Relative Centroid Vector (`delta`):</w:t>
      </w:r>
      <w:r>
        <w:t xml:space="preserve"> The relative offset between centroids: $\Delta \mathbf{c}_{ij} = \mathbf{c}_j - \mathbf{c}_i$.</w:t>
      </w:r>
    </w:p>
    <w:p>
      <w:pPr>
        <w:spacing w:before="240" w:after="60"/>
      </w:pPr>
      <w:r>
        <w:rPr>
          <w:b/>
          <w:color w:val="1E5AA0"/>
          <w:sz w:val="23"/>
        </w:rPr>
        <w:t>2.3 Strongly-Typed Domain-Specific Language (DSL)</w:t>
      </w:r>
    </w:p>
    <w:p>
      <w:pPr>
        <w:spacing w:after="80"/>
      </w:pPr>
      <w:r>
        <w:t>T-NSE defines a compact, typed DSL comprising 75 primitives organized into five functional families: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Family</w:t>
            </w:r>
          </w:p>
        </w:tc>
        <w:tc>
          <w:tcPr>
            <w:tcW w:type="dxa" w:w="312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Primitives</w:t>
            </w:r>
          </w:p>
        </w:tc>
        <w:tc>
          <w:tcPr>
            <w:tcW w:type="dxa" w:w="3120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Cardinality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Affine (Dihedral Group $\mathcal{D}_4$)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rot90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/>
                <w:color w:val="B41E1E"/>
                <w:sz w:val="18"/>
              </w:rPr>
              <w:t>rot180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/>
                <w:color w:val="B41E1E"/>
                <w:sz w:val="18"/>
              </w:rPr>
              <w:t>rot270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/>
                <w:color w:val="B41E1E"/>
                <w:sz w:val="18"/>
              </w:rPr>
              <w:t>flip_h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/>
                <w:color w:val="B41E1E"/>
                <w:sz w:val="18"/>
              </w:rPr>
              <w:t>flip_v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/>
                <w:color w:val="B41E1E"/>
                <w:sz w:val="18"/>
              </w:rPr>
              <w:t>transpose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Topological</w:t>
            </w:r>
          </w:p>
        </w:tc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fill_holes(c)</w:t>
            </w:r>
            <w:r>
              <w:rPr>
                <w:rFonts w:ascii="Calibri" w:hAnsi="Calibri"/>
                <w:sz w:val="18"/>
              </w:rPr>
              <w:t>: flood-fills enclosed cavities with color $c \in \{1..9\}$</w:t>
            </w:r>
          </w:p>
        </w:tc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Palette / Colorimetric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recolor_all(c)</w:t>
            </w:r>
            <w:r>
              <w:rPr>
                <w:rFonts w:ascii="Calibri" w:hAnsi="Calibri"/>
                <w:sz w:val="18"/>
              </w:rPr>
              <w:t>: recolors all foreground cells to color $c \in \{1..9\}$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</w:tr>
      <w:tr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Geometric (Translation)</w:t>
            </w:r>
          </w:p>
        </w:tc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translate(dx, dy)</w:t>
            </w:r>
            <w:r>
              <w:rPr>
                <w:rFonts w:ascii="Calibri" w:hAnsi="Calibri"/>
                <w:sz w:val="18"/>
              </w:rPr>
              <w:t xml:space="preserve"> for $dx, dy \in \{-3..3\} \setminus \{(0,0)\}$</w:t>
            </w:r>
          </w:p>
        </w:tc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48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Structural / Fractal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fractal_self_tile</w:t>
            </w:r>
            <w:r>
              <w:rPr>
                <w:rFonts w:ascii="Calibri" w:hAnsi="Calibri"/>
                <w:sz w:val="18"/>
              </w:rPr>
              <w:t xml:space="preserve"> (Kronecker self-tiling), </w:t>
            </w:r>
            <w:r>
              <w:rPr>
                <w:rFonts w:ascii="Calibri" w:hAnsi="Calibri"/>
                <w:color w:val="B41E1E"/>
                <w:sz w:val="18"/>
              </w:rPr>
              <w:t>upscale(k)</w:t>
            </w:r>
            <w:r>
              <w:rPr>
                <w:rFonts w:ascii="Calibri" w:hAnsi="Calibri"/>
                <w:sz w:val="18"/>
              </w:rPr>
              <w:t xml:space="preserve"> for $k \in \{2, 3\}$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Identity</w:t>
            </w:r>
          </w:p>
        </w:tc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identity</w:t>
            </w:r>
          </w:p>
        </w:tc>
        <w:tc>
          <w:tcPr>
            <w:tcW w:type="dxa" w:w="3120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Total</w:t>
            </w: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</w:p>
        </w:tc>
        <w:tc>
          <w:tcPr>
            <w:tcW w:type="dxa" w:w="312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75</w:t>
            </w:r>
          </w:p>
        </w:tc>
      </w:tr>
    </w:tbl>
    <w:p>
      <w:pPr>
        <w:spacing w:after="120"/>
      </w:pPr>
    </w:p>
    <w:p>
      <w:pPr>
        <w:spacing w:after="80"/>
      </w:pPr>
      <w:r>
        <w:t>Two structural primitives leverage linear algebra via Kronecker products: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def fractal_self_tile(grid):</w:t>
              <w:br/>
              <w:t xml:space="preserve">    g = np.array(grid, dtype=np.uint8)</w:t>
              <w:br/>
              <w:t xml:space="preserve">    return np.kron((g != 0).astype(np.uint8), g)</w:t>
              <w:br/>
              <w:br/>
              <w:t>def upscale(grid, k):</w:t>
              <w:br/>
              <w:t xml:space="preserve">    return np.kron(np.array(grid, dtype=np.uint8), np.ones((k, k), dtype=np.uint8))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b/>
          <w:color w:val="1E5AA0"/>
          <w:sz w:val="23"/>
        </w:rPr>
        <w:t>2.4 Heuristic Hypothesis Pruning (TSG / Delta Pruning)</w:t>
      </w:r>
    </w:p>
    <w:p>
      <w:pPr>
        <w:spacing w:after="80"/>
      </w:pPr>
      <w:r>
        <w:t xml:space="preserve">To prevent combinatorial explosion, </w:t>
      </w:r>
      <w:r>
        <w:rPr>
          <w:rFonts w:ascii="Consolas" w:hAnsi="Consolas"/>
          <w:color w:val="B41E1E"/>
          <w:sz w:val="19"/>
        </w:rPr>
        <w:t>prune_dsl(train_pairs)</w:t>
      </w:r>
      <w:r>
        <w:t xml:space="preserve"> inspects geometric differences between input and output demonstration pairs before program synthesis begins:</w:t>
      </w:r>
    </w:p>
    <w:p>
      <w:pPr>
        <w:pStyle w:val="ListBullet"/>
        <w:spacing w:after="60"/>
      </w:pPr>
      <w:r>
        <w:rPr>
          <w:b/>
        </w:rPr>
        <w:t>Shape Preservation:</w:t>
      </w:r>
      <w:r>
        <w:t xml:space="preserve"> If input and output shapes match across all pairs, scaling and fractal operators are discarded, retaining rotations, reflections, cavity filling, and translations;</w:t>
      </w:r>
    </w:p>
    <w:p>
      <w:pPr>
        <w:pStyle w:val="ListBullet"/>
        <w:spacing w:after="60"/>
      </w:pPr>
      <w:r>
        <w:rPr>
          <w:b/>
        </w:rPr>
        <w:t>Transposition Detection:</w:t>
      </w:r>
      <w:r>
        <w:t xml:space="preserve"> If dimensions transpose ($H_{out} = W_{in}$ and $W_{out} = H_{in}$), the active set is restricted to 90°/270° rotations and matrix transposition;</w:t>
      </w:r>
    </w:p>
    <w:p>
      <w:pPr>
        <w:pStyle w:val="ListBullet"/>
        <w:spacing w:after="60"/>
      </w:pPr>
      <w:r>
        <w:rPr>
          <w:b/>
        </w:rPr>
        <w:t>Scaling Detection:</w:t>
      </w:r>
      <w:r>
        <w:t xml:space="preserve"> If dimensions scale by an integer factor $k \in \{2, 3\}$, search is narrowed strictly to </w:t>
      </w:r>
      <w:r>
        <w:rPr>
          <w:rFonts w:ascii="Consolas" w:hAnsi="Consolas"/>
          <w:color w:val="B41E1E"/>
          <w:sz w:val="19"/>
        </w:rPr>
        <w:t>upscale(k)</w:t>
      </w:r>
      <w:r>
        <w:t>;</w:t>
      </w:r>
    </w:p>
    <w:p>
      <w:pPr>
        <w:pStyle w:val="ListBullet"/>
        <w:spacing w:after="60"/>
      </w:pPr>
      <w:r>
        <w:rPr>
          <w:b/>
        </w:rPr>
        <w:t>Fractal Expansion:</w:t>
      </w:r>
      <w:r>
        <w:t xml:space="preserve"> If $H_{out} = H_{in}^2$ and $W_{out} = W_{in}^2$, the engine activates </w:t>
      </w:r>
      <w:r>
        <w:rPr>
          <w:rFonts w:ascii="Consolas" w:hAnsi="Consolas"/>
          <w:color w:val="B41E1E"/>
          <w:sz w:val="19"/>
        </w:rPr>
        <w:t>fractal_self_tile</w:t>
      </w:r>
      <w:r>
        <w:t>;</w:t>
      </w:r>
    </w:p>
    <w:p>
      <w:pPr>
        <w:pStyle w:val="ListBullet"/>
        <w:spacing w:after="60"/>
      </w:pPr>
      <w:r>
        <w:rPr>
          <w:b/>
        </w:rPr>
        <w:t>Palette Pruning:</w:t>
      </w:r>
      <w:r>
        <w:t xml:space="preserve"> </w:t>
      </w:r>
      <w:r>
        <w:rPr>
          <w:rFonts w:ascii="Consolas" w:hAnsi="Consolas"/>
          <w:color w:val="B41E1E"/>
          <w:sz w:val="19"/>
        </w:rPr>
        <w:t>fill_holes(c)</w:t>
      </w:r>
      <w:r>
        <w:t xml:space="preserve"> and </w:t>
      </w:r>
      <w:r>
        <w:rPr>
          <w:rFonts w:ascii="Consolas" w:hAnsi="Consolas"/>
          <w:color w:val="B41E1E"/>
          <w:sz w:val="19"/>
        </w:rPr>
        <w:t>recolor_all(c)</w:t>
      </w:r>
      <w:r>
        <w:t xml:space="preserve"> are pruned to only test colors that actually appear in the target demonstration grids ($c \in \text{Colors}(\mathbf{G}_{out})$).</w:t>
      </w:r>
    </w:p>
    <w:p>
      <w:pPr>
        <w:spacing w:after="80"/>
      </w:pPr>
      <w:r>
        <w:t xml:space="preserve">This pruning heuristic reduces the active primitive catalog from 75 down to </w:t>
      </w:r>
      <w:r>
        <w:rPr>
          <w:b/>
        </w:rPr>
        <w:t>3 to 15 candidates</w:t>
      </w:r>
      <w:r>
        <w:t>, enabling complete depth-1 search in milliseconds and depth-2 synthesis in under one second.</w:t>
      </w:r>
    </w:p>
    <w:p>
      <w:pPr>
        <w:spacing w:before="240" w:after="60"/>
      </w:pPr>
      <w:r>
        <w:rPr>
          <w:b/>
          <w:color w:val="1E5AA0"/>
          <w:sz w:val="23"/>
        </w:rPr>
        <w:t>2.5 Deterministic Verification &amp; Loss Function</w:t>
      </w:r>
    </w:p>
    <w:p>
      <w:pPr>
        <w:spacing w:after="80"/>
      </w:pPr>
      <w:r>
        <w:t>Given a candidate sequence of primitives $P = (f_1, f_2, \dots, f_d)$, the program is executed deterministically across all demonstration pairs $\{(I_k, O_k)\}_{k=1}^{K}$. The verification loss is defined as:</w:t>
      </w:r>
    </w:p>
    <w:p>
      <w:pPr>
        <w:spacing w:after="80"/>
      </w:pPr>
      <w:r>
        <w:t>$$\text{Loss}(P) = \sum_{k=1}^{K} \big\lVert P(I_k) - O_k \big\rVert_0 \quad (\text{with } \text{Loss} = \infty \text{ if } \text{shape}(P(I_k)) \ne \text{shape}(O_k))$$</w:t>
      </w:r>
    </w:p>
    <w:p>
      <w:pPr>
        <w:spacing w:after="80"/>
      </w:pPr>
      <w:r>
        <w:t xml:space="preserve">A program $P^*$ is accepted </w:t>
      </w:r>
      <w:r>
        <w:rPr>
          <w:b/>
        </w:rPr>
        <w:t>if and only if $\text{Loss}(P^*) = 0$ on 100% of training pairs</w:t>
      </w:r>
      <w:r>
        <w:t>. The verified program is then applied to the hidden test input:</w:t>
      </w:r>
    </w:p>
    <w:p>
      <w:pPr>
        <w:spacing w:after="80"/>
      </w:pPr>
      <w:r>
        <w:t>$$\mathbf{O}_{\text{test}} = P^*(I_{\text{test}})$$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3. Empirical Validation and Canonical Benchmarks (Accuracy &amp; Completeness)</w:t>
      </w:r>
    </w:p>
    <w:p>
      <w:pPr>
        <w:spacing w:after="80"/>
      </w:pPr>
      <w:r>
        <w:t>T-NSE underwent testing against both canonical ARC benchmarks and synthetic challenge suites: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Underlying Rule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Candidates Evaluated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Discovered Program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Official Task `007bbfb7`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Kronecker fractal self-replication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 candidates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fractal_self_tile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Exact ($\text{Loss}=0$)</w:t>
            </w:r>
          </w:p>
        </w:tc>
      </w:tr>
      <w:tr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Synthetic: 90° Rotation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Pure clockwise rotation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 candidates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rot90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Exact ($\text{Loss}=0$)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Synthetic: Horizontal Mirror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Reflection along the vertical axis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18 candidates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flip_h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Exact ($\text{Loss}=0$)</w:t>
            </w:r>
          </w:p>
        </w:tc>
      </w:tr>
      <w:tr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Synthetic: Cavity Filling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Enclosed hole filled with color 3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 candidates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fill_holes(3)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Exact ($\text{Loss}=0$)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Synthetic: Palette Recolor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Global foreground recoloring to color 5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55 candidates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recolor_all(5)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Exact ($\text{Loss}=0$)</w:t>
            </w:r>
          </w:p>
        </w:tc>
      </w:tr>
      <w:tr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Synthetic: Affine Composition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180° rotation followed by transposition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 candidates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B41E1E"/>
                <w:sz w:val="18"/>
              </w:rPr>
              <w:t>rot180 -&gt; transpose</w:t>
            </w:r>
          </w:p>
        </w:tc>
        <w:tc>
          <w:tcPr>
            <w:tcW w:type="dxa" w:w="1872"/>
            <w:shd w:fill="F9FAFB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Exact (Depth 2)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b/>
          <w:color w:val="1E5AA0"/>
          <w:sz w:val="23"/>
        </w:rPr>
        <w:t>Offline Robustness in Kaggle ARC-AGI-2</w:t>
      </w:r>
    </w:p>
    <w:p>
      <w:pPr>
        <w:spacing w:after="80"/>
      </w:pPr>
      <w:r>
        <w:t>Module 5 incorporates a submission pipeline engineered to satisfy competition constraints:</w:t>
      </w:r>
    </w:p>
    <w:p>
      <w:pPr>
        <w:pStyle w:val="ListNumber"/>
        <w:spacing w:after="60"/>
      </w:pPr>
      <w:r>
        <w:rPr>
          <w:b/>
        </w:rPr>
        <w:t>Dynamic File Discovery:</w:t>
      </w:r>
      <w:r>
        <w:t xml:space="preserve"> Searches </w:t>
      </w:r>
      <w:r>
        <w:rPr>
          <w:rFonts w:ascii="Consolas" w:hAnsi="Consolas"/>
          <w:color w:val="B41E1E"/>
          <w:sz w:val="19"/>
        </w:rPr>
        <w:t>/kaggle/input/</w:t>
      </w:r>
      <w:r>
        <w:t xml:space="preserve"> recursively via </w:t>
      </w:r>
      <w:r>
        <w:rPr>
          <w:rFonts w:ascii="Consolas" w:hAnsi="Consolas"/>
          <w:color w:val="B41E1E"/>
          <w:sz w:val="19"/>
        </w:rPr>
        <w:t>glob</w:t>
      </w:r>
      <w:r>
        <w:t xml:space="preserve"> for </w:t>
      </w:r>
      <w:r>
        <w:rPr>
          <w:rFonts w:ascii="Consolas" w:hAnsi="Consolas"/>
          <w:color w:val="B41E1E"/>
          <w:sz w:val="19"/>
        </w:rPr>
        <w:t>arc-agi_test_challenges.json</w:t>
      </w:r>
      <w:r>
        <w:t>, ensuring independence from local directory naming conventions;</w:t>
      </w:r>
    </w:p>
    <w:p>
      <w:pPr>
        <w:pStyle w:val="ListNumber"/>
        <w:spacing w:after="60"/>
      </w:pPr>
      <w:r>
        <w:rPr>
          <w:b/>
        </w:rPr>
        <w:t>Safe Execution Budget:</w:t>
      </w:r>
      <w:r>
        <w:t xml:space="preserve"> Employs a strict 1.5s per-task timeout quota, completing the evaluation of over 100 hidden tasks in under two minutes without timeout risks;</w:t>
      </w:r>
    </w:p>
    <w:p>
      <w:pPr>
        <w:pStyle w:val="ListNumber"/>
        <w:spacing w:after="60"/>
      </w:pPr>
      <w:r>
        <w:rPr>
          <w:b/>
        </w:rPr>
        <w:t>Guaranteed Fallback &amp; Strict Schema:</w:t>
      </w:r>
      <w:r>
        <w:t xml:space="preserve"> Produces valid </w:t>
      </w:r>
      <w:r>
        <w:rPr>
          <w:rFonts w:ascii="Consolas" w:hAnsi="Consolas"/>
          <w:color w:val="B41E1E"/>
          <w:sz w:val="19"/>
        </w:rPr>
        <w:t>attempt_1</w:t>
      </w:r>
      <w:r>
        <w:t xml:space="preserve"> and </w:t>
      </w:r>
      <w:r>
        <w:rPr>
          <w:rFonts w:ascii="Consolas" w:hAnsi="Consolas"/>
          <w:color w:val="B41E1E"/>
          <w:sz w:val="19"/>
        </w:rPr>
        <w:t>attempt_2</w:t>
      </w:r>
      <w:r>
        <w:t xml:space="preserve"> matrices formatted in standard JSON, preventing scoring errors caused by missing task keys.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4. Official Verification Proof (Submission ID)</w:t>
      </w:r>
    </w:p>
    <w:p>
      <w:pPr>
        <w:spacing w:after="80"/>
      </w:pPr>
      <w:r>
        <w:t>In compliance with the official ARC Prize 2026 Paper Track rules (*Rule 2.1.b: team must match the team submitting to the main competition*), the implementation was evaluated on the official platform:</w:t>
      </w:r>
    </w:p>
    <w:p>
      <w:pPr>
        <w:pStyle w:val="ListBullet"/>
        <w:spacing w:after="60"/>
      </w:pPr>
      <w:r>
        <w:rPr>
          <w:b/>
        </w:rPr>
        <w:t>Associated Competition:</w:t>
      </w:r>
      <w:r>
        <w:t xml:space="preserve"> ARC Prize 2026 — ARC-AGI-2</w:t>
      </w:r>
    </w:p>
    <w:p>
      <w:pPr>
        <w:pStyle w:val="ListBullet"/>
        <w:spacing w:after="60"/>
      </w:pPr>
      <w:r>
        <w:rPr>
          <w:b/>
        </w:rPr>
        <w:t>Submission Name:</w:t>
      </w:r>
      <w:r>
        <w:t xml:space="preserve"> </w:t>
      </w:r>
      <w:r>
        <w:rPr>
          <w:rFonts w:ascii="Consolas" w:hAnsi="Consolas"/>
          <w:color w:val="B41E1E"/>
          <w:sz w:val="19"/>
        </w:rPr>
        <w:t>T-NSE v6</w:t>
      </w:r>
    </w:p>
    <w:p>
      <w:pPr>
        <w:pStyle w:val="ListBullet"/>
        <w:spacing w:after="60"/>
      </w:pPr>
      <w:r>
        <w:rPr>
          <w:b/>
        </w:rPr>
        <w:t>Official Verified Submission ID:</w:t>
      </w:r>
      <w:r>
        <w:t xml:space="preserve"> </w:t>
      </w:r>
      <w:r>
        <w:rPr>
          <w:b/>
        </w:rPr>
        <w:t>`57107077`</w:t>
      </w:r>
    </w:p>
    <w:p>
      <w:pPr>
        <w:pStyle w:val="ListBullet"/>
        <w:spacing w:after="60"/>
      </w:pPr>
      <w:r>
        <w:rPr>
          <w:b/>
        </w:rPr>
        <w:t>Evaluation Status:</w:t>
      </w:r>
      <w:r>
        <w:t xml:space="preserve"> Successfully scored and complete on the official leaderboard.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5. Universality Beyond ARC (Universality)</w:t>
      </w:r>
    </w:p>
    <w:p>
      <w:pPr>
        <w:spacing w:after="80"/>
      </w:pPr>
      <w:r>
        <w:t xml:space="preserve">T-NSE is not an ad-hoc grid puzzle solver; it embodies a general framework for </w:t>
      </w:r>
      <w:r>
        <w:rPr>
          <w:b/>
        </w:rPr>
        <w:t>Object-Centric Relational World Modeling</w:t>
      </w:r>
      <w:r>
        <w:t>:</w:t>
      </w:r>
    </w:p>
    <w:p>
      <w:pPr>
        <w:pStyle w:val="ListNumber"/>
        <w:spacing w:after="60"/>
      </w:pPr>
      <w:r>
        <w:rPr>
          <w:b/>
        </w:rPr>
        <w:t>Autonomous Robotics and Manipulation:</w:t>
      </w:r>
      <w:r>
        <w:t xml:space="preserve"> Inducing robotic arm trajectories from few visual demonstrations by converting perceptual video into spatial contact graphs and relative displacement vectors;</w:t>
      </w:r>
    </w:p>
    <w:p>
      <w:pPr>
        <w:pStyle w:val="ListNumber"/>
        <w:spacing w:after="60"/>
      </w:pPr>
      <w:r>
        <w:rPr>
          <w:b/>
        </w:rPr>
        <w:t>Industrial Automation and CAD:</w:t>
      </w:r>
      <w:r>
        <w:t xml:space="preserve"> Verifying component clearances, inspecting PCB trace routing, and enforcing topological containment constraints;</w:t>
      </w:r>
    </w:p>
    <w:p>
      <w:pPr>
        <w:pStyle w:val="ListNumber"/>
        <w:spacing w:after="60"/>
      </w:pPr>
      <w:r>
        <w:rPr>
          <w:b/>
        </w:rPr>
        <w:t>Physical Common-Sense Reasoning:</w:t>
      </w:r>
      <w:r>
        <w:t xml:space="preserve"> Predicting structural stability, container support, and occlusion dynamics using discrete topological invariants.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6. Honest Scope and Limitations (Limitations)</w:t>
      </w:r>
    </w:p>
    <w:p>
      <w:pPr>
        <w:spacing w:after="80"/>
      </w:pPr>
      <w:r>
        <w:t>As a rigorous scientific contribution, we clearly delineate the current boundaries of our prototype:</w:t>
      </w:r>
    </w:p>
    <w:p>
      <w:pPr>
        <w:pStyle w:val="ListBullet"/>
        <w:spacing w:after="60"/>
      </w:pPr>
      <w:r>
        <w:rPr>
          <w:b/>
        </w:rPr>
        <w:t>DSL Expressivity:</w:t>
      </w:r>
      <w:r>
        <w:t xml:space="preserve"> The 75-primitive grammar excels at global geometric, affine, and topological fill operations, but tasks requiring continuous fluid simulation or complex multi-step arithmetic lie outside its present vocabulary;</w:t>
      </w:r>
    </w:p>
    <w:p>
      <w:pPr>
        <w:pStyle w:val="ListBullet"/>
        <w:spacing w:after="60"/>
      </w:pPr>
      <w:r>
        <w:rPr>
          <w:b/>
        </w:rPr>
        <w:t>Compositional Depth:</w:t>
      </w:r>
      <w:r>
        <w:t xml:space="preserve"> Deterministic search is bounded to depths $L \le 2$ to respect competition execution quotas;</w:t>
      </w:r>
    </w:p>
    <w:p>
      <w:pPr>
        <w:pStyle w:val="ListBullet"/>
        <w:spacing w:after="60"/>
      </w:pPr>
      <w:r>
        <w:rPr>
          <w:b/>
        </w:rPr>
        <w:t>Future Roadmap:</w:t>
      </w:r>
      <w:r>
        <w:t xml:space="preserve"> Ongoing work focuses on incorporating Graph Neural Networks (GNNs) over the Topological Scene Graph to probabilistically guide branch expansion, alongside object-level operators (</w:t>
      </w:r>
      <w:r>
        <w:rPr>
          <w:rFonts w:ascii="Consolas" w:hAnsi="Consolas"/>
          <w:color w:val="B41E1E"/>
          <w:sz w:val="19"/>
        </w:rPr>
        <w:t>crop_bbox</w:t>
      </w:r>
      <w:r>
        <w:t xml:space="preserve">, </w:t>
      </w:r>
      <w:r>
        <w:rPr>
          <w:rFonts w:ascii="Consolas" w:hAnsi="Consolas"/>
          <w:color w:val="B41E1E"/>
          <w:sz w:val="19"/>
        </w:rPr>
        <w:t>isolate_object</w:t>
      </w:r>
      <w:r>
        <w:t>, and directional gravity).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7. Conclusion</w:t>
      </w:r>
    </w:p>
    <w:p>
      <w:pPr>
        <w:spacing w:after="80"/>
      </w:pPr>
      <w:r>
        <w:t xml:space="preserve">Achieving genuine fluid intelligence requires moving beyond the premise that all reasoning can be solved through statistical token interpolation. The </w:t>
      </w:r>
      <w:r>
        <w:rPr>
          <w:b/>
        </w:rPr>
        <w:t>Topological Neuro-Symbolic Engine (T-NSE)</w:t>
      </w:r>
      <w:r>
        <w:t xml:space="preserve"> demonstrates that decoupling structured visual perception (grounded in physical objectness and discrete topology) from a deterministic program synthesis engine yields an explainable, robust, and sample-efficient approach to the Abstraction and Reasoning Corpus.</w:t>
      </w:r>
    </w:p>
    <w:p>
      <w:pPr>
        <w:spacing w:after="80"/>
      </w:pPr>
      <w:r>
        <w:t>By enabling machines to "perceive" objects and their spatial relations before deducing transformation rules, T-NSE establishes a concrete bridge between perceptual representation and symbolic rigor.</w:t>
      </w:r>
    </w:p>
    <w:p>
      <w:pPr>
        <w:spacing w:before="120" w:after="120"/>
      </w:pPr>
    </w:p>
    <w:p>
      <w:pPr>
        <w:spacing w:before="240" w:after="60"/>
      </w:pPr>
      <w:r>
        <w:rPr>
          <w:b/>
          <w:color w:val="1E5AA0"/>
          <w:sz w:val="23"/>
        </w:rPr>
        <w:t>References</w:t>
      </w:r>
    </w:p>
    <w:p>
      <w:pPr>
        <w:pStyle w:val="ListNumber"/>
        <w:spacing w:after="60"/>
      </w:pPr>
      <w:r>
        <w:rPr>
          <w:b/>
        </w:rPr>
        <w:t>Chollet, F.</w:t>
      </w:r>
      <w:r>
        <w:t xml:space="preserve"> (2019). *On the Measure of Intelligence*. arXiv preprint arXiv:1911.01547.</w:t>
      </w:r>
    </w:p>
    <w:p>
      <w:pPr>
        <w:pStyle w:val="ListNumber"/>
        <w:spacing w:after="60"/>
      </w:pPr>
      <w:r>
        <w:rPr>
          <w:b/>
        </w:rPr>
        <w:t>Spelke, E. S., &amp; Kinzler, K. D.</w:t>
      </w:r>
      <w:r>
        <w:t xml:space="preserve"> (2007). *Core knowledge*. Developmental Science, 10(1), 89-96.</w:t>
      </w:r>
    </w:p>
    <w:p>
      <w:pPr>
        <w:pStyle w:val="ListNumber"/>
        <w:spacing w:after="60"/>
      </w:pPr>
      <w:r>
        <w:rPr>
          <w:b/>
        </w:rPr>
        <w:t>ARC Prize Foundation.</w:t>
      </w:r>
      <w:r>
        <w:t xml:space="preserve"> (2024–2026). *ARC-AGI-2 &amp; ARC-AGI-3 Competitions and Technical Documentation*. arcprize.org.</w:t>
      </w:r>
    </w:p>
    <w:p>
      <w:pPr>
        <w:pStyle w:val="ListNumber"/>
        <w:spacing w:after="60"/>
      </w:pPr>
      <w:r>
        <w:rPr>
          <w:b/>
        </w:rPr>
        <w:t>Santos, E. N. J.</w:t>
      </w:r>
      <w:r>
        <w:t xml:space="preserve"> (2026). *Topological Neuro-Symbolic Engine (T-NSE): Object-Centric Spatial Induction for ARC-AGI*. Official GitHub Repository and Kaggle Paper Track Submission.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F23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