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Calibri" w:hAnsi="Calibri"/>
          <w:b/>
          <w:color w:val="0F3C73"/>
          <w:sz w:val="36"/>
        </w:rPr>
        <w:t>Topological Neuro-Symbolic Engine (T-NSE): Indução Espacial Centrada em Objetos para o Abstraction and Reasoning Corpus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4F8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left w:val="single" w:sz="24" w:space="0" w:color="0F3C73"/>
              <w:top w:val="none"/>
              <w:bottom w:val="none"/>
              <w:right w:val="none"/>
            </w:tcBorders>
          </w:tcPr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24292F"/>
                <w:sz w:val="19"/>
              </w:rPr>
              <w:t>Artigo Técnico Oficial — ARC Prize 2026 (Paper Track)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24292F"/>
                <w:sz w:val="19"/>
              </w:rPr>
              <w:t>Trilha:</w:t>
            </w:r>
            <w:r>
              <w:rPr>
                <w:rFonts w:ascii="Calibri" w:hAnsi="Calibri"/>
                <w:color w:val="24292F"/>
                <w:sz w:val="19"/>
              </w:rPr>
              <w:t xml:space="preserve"> Main Track (ARC-AGI-2 / ARC-AGI-3)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24292F"/>
                <w:sz w:val="19"/>
              </w:rPr>
              <w:t>Autor:</w:t>
            </w:r>
            <w:r>
              <w:rPr>
                <w:rFonts w:ascii="Calibri" w:hAnsi="Calibri"/>
                <w:color w:val="24292F"/>
                <w:sz w:val="19"/>
              </w:rPr>
              <w:t xml:space="preserve"> Emerson Noé José dos Santos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24292F"/>
                <w:sz w:val="19"/>
              </w:rPr>
              <w:t>Comprovativo Oficial de Submissão (Main Track ID):</w:t>
            </w:r>
            <w:r>
              <w:rPr>
                <w:rFonts w:ascii="Calibri" w:hAnsi="Calibri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F3C73"/>
                <w:sz w:val="17"/>
              </w:rPr>
              <w:t>57107077</w:t>
            </w:r>
            <w:r>
              <w:rPr>
                <w:rFonts w:ascii="Calibri" w:hAnsi="Calibri"/>
                <w:color w:val="24292F"/>
                <w:sz w:val="19"/>
              </w:rPr>
              <w:t xml:space="preserve"> (T-NSE v6)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24292F"/>
                <w:sz w:val="19"/>
              </w:rPr>
              <w:t>Notebook do Projeto:</w:t>
            </w:r>
            <w:r>
              <w:rPr>
                <w:rFonts w:ascii="Calibri" w:hAnsi="Calibri"/>
                <w:color w:val="24292F"/>
                <w:sz w:val="19"/>
              </w:rPr>
              <w:t xml:space="preserve"> </w:t>
            </w:r>
            <w:r>
              <w:rPr>
                <w:rFonts w:ascii="Consolas" w:hAnsi="Consolas"/>
                <w:b/>
                <w:color w:val="0F3C73"/>
                <w:sz w:val="17"/>
              </w:rPr>
              <w:t>Neuro-Simbolic_Espacial_Topologico_ARC.ipynb</w:t>
            </w:r>
          </w:p>
          <w:p>
            <w:pPr>
              <w:spacing w:before="0" w:after="40" w:line="276" w:lineRule="auto"/>
            </w:pPr>
            <w:r>
              <w:rPr>
                <w:rFonts w:ascii="Calibri" w:hAnsi="Calibri"/>
                <w:b/>
                <w:color w:val="24292F"/>
                <w:sz w:val="19"/>
              </w:rPr>
              <w:t>Repositório Oficial:</w:t>
            </w:r>
            <w:r>
              <w:rPr>
                <w:rFonts w:ascii="Calibri" w:hAnsi="Calibri"/>
                <w:color w:val="24292F"/>
                <w:sz w:val="19"/>
              </w:rPr>
              <w:t xml:space="preserve"> </w:t>
            </w:r>
            <w:r>
              <w:rPr>
                <w:rFonts w:ascii="Calibri" w:hAnsi="Calibri"/>
                <w:color w:val="0969DA"/>
                <w:sz w:val="19"/>
                <w:u w:val="single"/>
              </w:rPr>
              <w:t>github.com/emersonnjsantos/Arq_Neuro-Simbolic_Espacial_Topologico_ARC (https://github.com/emersonnjsantos/Arq_Neuro-Simbolic_Espacial_Topologico_ARC)</w:t>
            </w:r>
          </w:p>
        </w:tc>
      </w:tr>
    </w:tbl>
    <w:p>
      <w:pPr>
        <w:spacing w:before="0"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7"/>
        </w:rPr>
        <w:t>Resumo Executivo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O *Abstraction and Reasoning Corpus* (ARC) desafia os sistemas de inteligência artificial a adquirir novas habilidades a partir de poucas demonstrações, sem a possibilidade de memorização prévia via treinamento em larga escala. Os paradigmas dominantes enfrentam uma dicotomia fundamental: de um lado, os Grandes Modelos de Linguagem (LLMs) e Modelos de Visão-Linguagem (VLMs) sofrem de cegueira espacial e alucinações de coordenadas devido à serialização unidimensional de grades bidimensionais; de outro, a síntese de programas puramente simbólica por força bruta colapsa diante da explosão combinatória </w:t>
      </w:r>
      <w:r>
        <w:rPr>
          <w:rFonts w:ascii="Cambria Math" w:hAnsi="Cambria Math"/>
          <w:b w:val="0"/>
          <w:color w:val="0F3C73"/>
          <w:sz w:val="20"/>
        </w:rPr>
        <w:t>O(|D|</w:t>
      </w:r>
      <w:r>
        <w:rPr>
          <w:rFonts w:ascii="Cambria Math" w:hAnsi="Cambria Math"/>
          <w:b w:val="0"/>
          <w:color w:val="0F3C73"/>
          <w:sz w:val="20"/>
          <w:vertAlign w:val="superscript"/>
        </w:rPr>
        <w:t>L</w:t>
      </w:r>
      <w:r>
        <w:rPr>
          <w:rFonts w:ascii="Cambria Math" w:hAnsi="Cambria Math"/>
          <w:b w:val="0"/>
          <w:color w:val="0F3C73"/>
          <w:sz w:val="20"/>
        </w:rPr>
        <w:t>)</w:t>
      </w:r>
      <w:r>
        <w:rPr>
          <w:rFonts w:ascii="Calibri" w:hAnsi="Calibri"/>
          <w:color w:val="24292F"/>
          <w:sz w:val="20"/>
        </w:rPr>
        <w:t>.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Para superar esse impasse, apresentamos o </w:t>
      </w:r>
      <w:r>
        <w:rPr>
          <w:rFonts w:ascii="Calibri" w:hAnsi="Calibri"/>
          <w:b/>
          <w:color w:val="24292F"/>
          <w:sz w:val="20"/>
        </w:rPr>
        <w:t>Topological Neuro-Symbolic Engine (T-NSE)</w:t>
      </w:r>
      <w:r>
        <w:rPr>
          <w:rFonts w:ascii="Calibri" w:hAnsi="Calibri"/>
          <w:color w:val="24292F"/>
          <w:sz w:val="20"/>
        </w:rPr>
        <w:t>. O T-NSE desacopla o raciocínio visual em três estágios complementares fundamentados nos princípios cognitivos de *Core Knowledge*: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1. </w:t>
      </w:r>
      <w:r>
        <w:rPr>
          <w:rFonts w:ascii="Calibri" w:hAnsi="Calibri"/>
          <w:b/>
          <w:color w:val="24292F"/>
          <w:sz w:val="20"/>
        </w:rPr>
        <w:t>Percepção e Decomposição Topológica:</w:t>
      </w:r>
      <w:r>
        <w:rPr>
          <w:rFonts w:ascii="Calibri" w:hAnsi="Calibri"/>
          <w:color w:val="24292F"/>
          <w:sz w:val="20"/>
        </w:rPr>
        <w:t xml:space="preserve"> Decomposição da grade discreta em objetos físicos invariantes e contornos conexos através de conectividade configurável (4 ou 8 direções);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2. </w:t>
      </w:r>
      <w:r>
        <w:rPr>
          <w:rFonts w:ascii="Calibri" w:hAnsi="Calibri"/>
          <w:b/>
          <w:color w:val="24292F"/>
          <w:sz w:val="20"/>
        </w:rPr>
        <w:t>Grafo de Cenas Topológico (TSG):</w:t>
      </w:r>
      <w:r>
        <w:rPr>
          <w:rFonts w:ascii="Calibri" w:hAnsi="Calibri"/>
          <w:color w:val="24292F"/>
          <w:sz w:val="20"/>
        </w:rPr>
        <w:t xml:space="preserve"> Construção de um grafo relacional que codifica adjacência espacial, contenção em cavidades internas (furos topológicos) e vetores de deslocamento relativo;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3. </w:t>
      </w:r>
      <w:r>
        <w:rPr>
          <w:rFonts w:ascii="Calibri" w:hAnsi="Calibri"/>
          <w:b/>
          <w:color w:val="24292F"/>
          <w:sz w:val="20"/>
        </w:rPr>
        <w:t>Síntese de Programas com Poda Heurística e Verificação Determinística:</w:t>
      </w:r>
      <w:r>
        <w:rPr>
          <w:rFonts w:ascii="Calibri" w:hAnsi="Calibri"/>
          <w:color w:val="24292F"/>
          <w:sz w:val="20"/>
        </w:rPr>
        <w:t xml:space="preserve"> Busca gulosa de menor comprimento sobre uma Linguagem de Domínio Específico (DSL) fortemente tipada, podada por heurísticas relacionais e aceita estritamente se reproduzir 100% dos pares de treino com perda zero (</w:t>
      </w:r>
      <w:r>
        <w:rPr>
          <w:rFonts w:ascii="Cambria Math" w:hAnsi="Cambria Math"/>
          <w:b w:val="0"/>
          <w:color w:val="0F3C73"/>
          <w:sz w:val="20"/>
        </w:rPr>
        <w:t>Loss = 0</w:t>
      </w:r>
      <w:r>
        <w:rPr>
          <w:rFonts w:ascii="Calibri" w:hAnsi="Calibri"/>
          <w:color w:val="24292F"/>
          <w:sz w:val="20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A arquitetura foi implementada de ponta a ponta em Python/NumPy, validada em tarefas canônicas do ARC (incluindo a tarefa oficial </w:t>
      </w:r>
      <w:r>
        <w:rPr>
          <w:rFonts w:ascii="Consolas" w:hAnsi="Consolas"/>
          <w:b/>
          <w:color w:val="0F3C73"/>
          <w:sz w:val="18"/>
        </w:rPr>
        <w:t>007bbfb7</w:t>
      </w:r>
      <w:r>
        <w:rPr>
          <w:rFonts w:ascii="Calibri" w:hAnsi="Calibri"/>
          <w:color w:val="24292F"/>
          <w:sz w:val="20"/>
        </w:rPr>
        <w:t xml:space="preserve">) e executada de forma offline-safe no ambiente de avaliação do Kaggle, obtendo a submissão verificada sob o </w:t>
      </w:r>
      <w:r>
        <w:rPr>
          <w:rFonts w:ascii="Calibri" w:hAnsi="Calibri"/>
          <w:b/>
          <w:color w:val="24292F"/>
          <w:sz w:val="20"/>
        </w:rPr>
        <w:t>Submission ID oficial `57107077`</w:t>
      </w:r>
      <w:r>
        <w:rPr>
          <w:rFonts w:ascii="Calibri" w:hAnsi="Calibri"/>
          <w:color w:val="24292F"/>
          <w:sz w:val="20"/>
        </w:rPr>
        <w:t>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7"/>
        </w:rPr>
        <w:t>1. Introdução e Motivação Teórica (Theory &amp; Progress)</w:t>
      </w: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3"/>
        </w:rPr>
        <w:t>1.1 As Limitações do Conexionismo Puro e do Simbolismo Cego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O ARC (Chollet, 2019) foi concebido para medir a *eficiência na aquisição de habilidades* em vez de meras habilidades cristalizadas. Modelos conexionistas profundos e LLMs autorregressivos tratam grades </w:t>
      </w:r>
      <w:r>
        <w:rPr>
          <w:rFonts w:ascii="Cambria Math" w:hAnsi="Cambria Math"/>
          <w:b w:val="0"/>
          <w:color w:val="0F3C73"/>
          <w:sz w:val="20"/>
        </w:rPr>
        <w:t>H × W</w:t>
      </w:r>
      <w:r>
        <w:rPr>
          <w:rFonts w:ascii="Calibri" w:hAnsi="Calibri"/>
          <w:color w:val="24292F"/>
          <w:sz w:val="20"/>
        </w:rPr>
        <w:t xml:space="preserve"> como sequências lineares de inteiros ou tokens. Essa linearização destrói a localidade espacial bidimensional fundamental, tornando os modelos incapazes de deduzir relações topológicas elementares como "estar contido dentro de uma cavidade", "tocar na borda externa" ou "conservar a simetria reflexiva".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Por outro lado, abordar o ARC exclusivamente através de busca exaustiva por força bruta em linguagens de domínio específico (DSL) provoca uma explosão combinatorial intratável. O número total de programas candidatos </w:t>
      </w:r>
      <w:r>
        <w:rPr>
          <w:rFonts w:ascii="Cambria Math" w:hAnsi="Cambria Math"/>
          <w:b w:val="0"/>
          <w:color w:val="0F3C73"/>
          <w:sz w:val="20"/>
        </w:rPr>
        <w:t>N(L)</w:t>
      </w:r>
      <w:r>
        <w:rPr>
          <w:rFonts w:ascii="Calibri" w:hAnsi="Calibri"/>
          <w:color w:val="24292F"/>
          <w:sz w:val="20"/>
        </w:rPr>
        <w:t xml:space="preserve"> a serem avaliados até uma profundidade de passos </w:t>
      </w:r>
      <w:r>
        <w:rPr>
          <w:rFonts w:ascii="Cambria Math" w:hAnsi="Cambria Math"/>
          <w:b w:val="0"/>
          <w:color w:val="0F3C73"/>
          <w:sz w:val="20"/>
        </w:rPr>
        <w:t>L</w:t>
      </w:r>
      <w:r>
        <w:rPr>
          <w:rFonts w:ascii="Calibri" w:hAnsi="Calibri"/>
          <w:color w:val="24292F"/>
          <w:sz w:val="20"/>
        </w:rPr>
        <w:t xml:space="preserve"> é a soma geométrica de todas as combinações possíveis de 1 até </w:t>
      </w:r>
      <w:r>
        <w:rPr>
          <w:rFonts w:ascii="Cambria Math" w:hAnsi="Cambria Math"/>
          <w:b w:val="0"/>
          <w:color w:val="0F3C73"/>
          <w:sz w:val="20"/>
        </w:rPr>
        <w:t>L</w:t>
      </w:r>
      <w:r>
        <w:rPr>
          <w:rFonts w:ascii="Calibri" w:hAnsi="Calibri"/>
          <w:color w:val="24292F"/>
          <w:sz w:val="20"/>
        </w:rPr>
        <w:t xml:space="preserve"> passos:</w:t>
      </w:r>
    </w:p>
    <w:p>
      <w:pPr>
        <w:spacing w:before="120" w:after="120"/>
        <w:jc w:val="center"/>
      </w:pPr>
      <w:r>
        <w:rPr>
          <w:rFonts w:ascii="Cambria Math" w:hAnsi="Cambria Math"/>
          <w:b/>
          <w:color w:val="0F3C73"/>
          <w:sz w:val="22"/>
        </w:rPr>
        <w:t>N(L) = |D|</w:t>
      </w:r>
      <w:r>
        <w:rPr>
          <w:rFonts w:ascii="Cambria Math" w:hAnsi="Cambria Math"/>
          <w:b/>
          <w:color w:val="0F3C73"/>
          <w:sz w:val="22"/>
          <w:vertAlign w:val="superscript"/>
        </w:rPr>
        <w:t>1</w:t>
      </w:r>
      <w:r>
        <w:rPr>
          <w:rFonts w:ascii="Cambria Math" w:hAnsi="Cambria Math"/>
          <w:b/>
          <w:color w:val="0F3C73"/>
          <w:sz w:val="22"/>
        </w:rPr>
        <w:t xml:space="preserve"> + |D|</w:t>
      </w:r>
      <w:r>
        <w:rPr>
          <w:rFonts w:ascii="Cambria Math" w:hAnsi="Cambria Math"/>
          <w:b/>
          <w:color w:val="0F3C73"/>
          <w:sz w:val="22"/>
          <w:vertAlign w:val="superscript"/>
        </w:rPr>
        <w:t>2</w:t>
      </w:r>
      <w:r>
        <w:rPr>
          <w:rFonts w:ascii="Cambria Math" w:hAnsi="Cambria Math"/>
          <w:b/>
          <w:color w:val="0F3C73"/>
          <w:sz w:val="22"/>
        </w:rPr>
        <w:t xml:space="preserve"> + … + |D|</w:t>
      </w:r>
      <w:r>
        <w:rPr>
          <w:rFonts w:ascii="Cambria Math" w:hAnsi="Cambria Math"/>
          <w:b/>
          <w:color w:val="0F3C73"/>
          <w:sz w:val="22"/>
          <w:vertAlign w:val="superscript"/>
        </w:rPr>
        <w:t>L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Onde </w:t>
      </w:r>
      <w:r>
        <w:rPr>
          <w:rFonts w:ascii="Cambria Math" w:hAnsi="Cambria Math"/>
          <w:b w:val="0"/>
          <w:color w:val="0F3C73"/>
          <w:sz w:val="20"/>
        </w:rPr>
        <w:t>|D|</w:t>
      </w:r>
      <w:r>
        <w:rPr>
          <w:rFonts w:ascii="Calibri" w:hAnsi="Calibri"/>
          <w:color w:val="24292F"/>
          <w:sz w:val="20"/>
        </w:rPr>
        <w:t xml:space="preserve"> é a quantidade de operadores disponíveis na linguagem. Para um vocabulário de apenas 75 operadores (</w:t>
      </w:r>
      <w:r>
        <w:rPr>
          <w:rFonts w:ascii="Cambria Math" w:hAnsi="Cambria Math"/>
          <w:b w:val="0"/>
          <w:color w:val="0F3C73"/>
          <w:sz w:val="20"/>
        </w:rPr>
        <w:t>|D| = 75</w:t>
      </w:r>
      <w:r>
        <w:rPr>
          <w:rFonts w:ascii="Calibri" w:hAnsi="Calibri"/>
          <w:color w:val="24292F"/>
          <w:sz w:val="20"/>
        </w:rPr>
        <w:t>), avaliar composições de até 3 passos (</w:t>
      </w:r>
      <w:r>
        <w:rPr>
          <w:rFonts w:ascii="Cambria Math" w:hAnsi="Cambria Math"/>
          <w:b w:val="0"/>
          <w:color w:val="0F3C73"/>
          <w:sz w:val="20"/>
        </w:rPr>
        <w:t>L = 3</w:t>
      </w:r>
      <w:r>
        <w:rPr>
          <w:rFonts w:ascii="Calibri" w:hAnsi="Calibri"/>
          <w:color w:val="24292F"/>
          <w:sz w:val="20"/>
        </w:rPr>
        <w:t xml:space="preserve">) exige testar nada menos que </w:t>
      </w:r>
      <w:r>
        <w:rPr>
          <w:rFonts w:ascii="Calibri" w:hAnsi="Calibri"/>
          <w:b/>
          <w:color w:val="24292F"/>
          <w:sz w:val="20"/>
        </w:rPr>
        <w:t>427.575 programas candidatos</w:t>
      </w:r>
      <w:r>
        <w:rPr>
          <w:rFonts w:ascii="Calibri" w:hAnsi="Calibri"/>
          <w:color w:val="24292F"/>
          <w:sz w:val="20"/>
        </w:rPr>
        <w:t xml:space="preserve"> por tarefa (75 no nível 1 + 5.625 no nível 2 + 421.875 no nível 3). Em competições como o ARC-AGI-2, onde mais de 100 tarefas secretas devem ser processadas sequencialmente sob limites rigorosos de tempo de CPU e sem internet, a busca cega sem poda resulta inevitavelmente em estouro de tempo (*timeout*).</w:t>
      </w: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3"/>
        </w:rPr>
        <w:t>1.2 Fundamentação Cognitiva: Priors de Core Knowledge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Solucionadores humanos resolvem a maioria dos puzzles do ARC em segundos sem necessidade de milhares de exemplos de treino. Esse desempenho decorre do ancoramento em *Priors de Conhecimento Central* (*Core Knowledge Priors*, Spelke &amp; Kinzler, 2007; Chollet, 2019):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Coesão e Identidade de Objeto:</w:t>
      </w:r>
      <w:r>
        <w:rPr>
          <w:rFonts w:ascii="Calibri" w:hAnsi="Calibri"/>
          <w:color w:val="24292F"/>
          <w:sz w:val="20"/>
        </w:rPr>
        <w:t xml:space="preserve"> Pixels contíguos de mesma cor movem-se e comportam-se como entidades físicas sólidas e indivisíveis;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Invariantes Topológicos:</w:t>
      </w:r>
      <w:r>
        <w:rPr>
          <w:rFonts w:ascii="Calibri" w:hAnsi="Calibri"/>
          <w:color w:val="24292F"/>
          <w:sz w:val="20"/>
        </w:rPr>
        <w:t xml:space="preserve"> Conectividade, contorno fechado e número de cavidades internas (análogo à característica de Euler discreta) persistem sob operações de translação, rotação e recolorização;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Morfismos Orientados a Metas:</w:t>
      </w:r>
      <w:r>
        <w:rPr>
          <w:rFonts w:ascii="Calibri" w:hAnsi="Calibri"/>
          <w:color w:val="24292F"/>
          <w:sz w:val="20"/>
        </w:rPr>
        <w:t xml:space="preserve"> A transformação entre entrada e saída expressa operações estruturadas sobre entidades identificadas, e não mutações aleatórias pixel a pixel.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O T-NSE incorpora formalmente esses três axiomas em sua arquitetura, transpondo o problema de um espaço de busca combinatório de pixels (uma escala astronômica de aproximadamente </w:t>
      </w:r>
      <w:r>
        <w:rPr>
          <w:rFonts w:ascii="Cambria Math" w:hAnsi="Cambria Math"/>
          <w:b w:val="0"/>
          <w:color w:val="0F3C73"/>
          <w:sz w:val="20"/>
        </w:rPr>
        <w:t>10</w:t>
      </w:r>
      <w:r>
        <w:rPr>
          <w:rFonts w:ascii="Cambria Math" w:hAnsi="Cambria Math"/>
          <w:b w:val="0"/>
          <w:color w:val="0F3C73"/>
          <w:sz w:val="20"/>
          <w:vertAlign w:val="superscript"/>
        </w:rPr>
        <w:t>900</w:t>
      </w:r>
      <w:r>
        <w:rPr>
          <w:rFonts w:ascii="Calibri" w:hAnsi="Calibri"/>
          <w:color w:val="24292F"/>
          <w:sz w:val="20"/>
        </w:rPr>
        <w:t xml:space="preserve"> configurações possíveis em grades de </w:t>
      </w:r>
      <w:r>
        <w:rPr>
          <w:rFonts w:ascii="Cambria Math" w:hAnsi="Cambria Math"/>
          <w:b w:val="0"/>
          <w:color w:val="0F3C73"/>
          <w:sz w:val="20"/>
        </w:rPr>
        <w:t>30 × 30</w:t>
      </w:r>
      <w:r>
        <w:rPr>
          <w:rFonts w:ascii="Calibri" w:hAnsi="Calibri"/>
          <w:color w:val="24292F"/>
          <w:sz w:val="20"/>
        </w:rPr>
        <w:t xml:space="preserve">) para o espaço tratável de morfismos sobre grafos de objetos (reduzido para aproximadamente </w:t>
      </w:r>
      <w:r>
        <w:rPr>
          <w:rFonts w:ascii="Cambria Math" w:hAnsi="Cambria Math"/>
          <w:b w:val="0"/>
          <w:color w:val="0F3C73"/>
          <w:sz w:val="20"/>
        </w:rPr>
        <w:t>1.000</w:t>
      </w:r>
      <w:r>
        <w:rPr>
          <w:rFonts w:ascii="Calibri" w:hAnsi="Calibri"/>
          <w:color w:val="24292F"/>
          <w:sz w:val="20"/>
        </w:rPr>
        <w:t xml:space="preserve"> hipóteses estruturadas).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7"/>
        </w:rPr>
        <w:t>2. Formalização Matemática da Arquitetura (Completeness &amp; Novelty)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O T-NSE organiza a indução espacial em um pipeline determinístico estruturado em cinco módulos sequenciais: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rPr>
          <w:tblHeader/>
          <w:cantSplit/>
        </w:trPr>
        <w:tc>
          <w:tcPr>
            <w:tcW w:type="dxa" w:w="1728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Estágio do Pipeline</w:t>
            </w:r>
          </w:p>
        </w:tc>
        <w:tc>
          <w:tcPr>
            <w:tcW w:type="dxa" w:w="2016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Módulo de Implementação</w:t>
            </w:r>
          </w:p>
        </w:tc>
        <w:tc>
          <w:tcPr>
            <w:tcW w:type="dxa" w:w="3600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Operação Formal e Mecanismo Matemático</w:t>
            </w:r>
          </w:p>
        </w:tc>
        <w:tc>
          <w:tcPr>
            <w:tcW w:type="dxa" w:w="2016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Representação de Saída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0. Ingestão Bruta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Grade de Entrada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G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Conversão do JSON em matriz discreta bidimensional de pixels (valores de 0 a 9) com dimensões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H × W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Grade Discreta Bruta</w:t>
            </w:r>
          </w:p>
        </w:tc>
      </w:tr>
      <w:tr>
        <w:trPr>
          <w:cantSplit/>
        </w:trPr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Estágio 1 · Percepção</w:t>
            </w:r>
          </w:p>
        </w:tc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ARCObjectExtractor</w:t>
            </w:r>
          </w:p>
        </w:tc>
        <w:tc>
          <w:tcPr>
            <w:tcW w:type="dxa" w:w="3600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Segmentação por cor; rotulagem de componentes conexos (4 ou 8 vizinhos via OpenCV ou busca em largura)</w:t>
            </w:r>
          </w:p>
        </w:tc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Conjunto de Entidades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O = \{o</w:t>
            </w:r>
            <w:r>
              <w:rPr>
                <w:rFonts w:ascii="Cambria Math" w:hAnsi="Cambria Math"/>
                <w:b w:val="0"/>
                <w:color w:val="0F3C73"/>
                <w:sz w:val="18"/>
                <w:vertAlign w:val="subscript"/>
              </w:rPr>
              <w:t>1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, …, o</w:t>
            </w:r>
            <w:r>
              <w:rPr>
                <w:rFonts w:ascii="Cambria Math" w:hAnsi="Cambria Math"/>
                <w:b w:val="0"/>
                <w:color w:val="0F3C73"/>
                <w:sz w:val="18"/>
                <w:vertAlign w:val="subscript"/>
              </w:rPr>
              <w:t>n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\}</w:t>
            </w:r>
            <w:r>
              <w:rPr>
                <w:rFonts w:ascii="Calibri" w:hAnsi="Calibri"/>
                <w:color w:val="24292F"/>
                <w:sz w:val="18"/>
              </w:rPr>
              <w:t xml:space="preserve"> com atributos físicos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Estágio 2 · Topologia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build_scene_graph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Detecção de cavidades internas (</w:t>
            </w:r>
            <w:r>
              <w:rPr>
                <w:rFonts w:ascii="Consolas" w:hAnsi="Consolas"/>
                <w:b/>
                <w:color w:val="0F3C73"/>
                <w:sz w:val="16"/>
              </w:rPr>
              <w:t>enclosed_cells</w:t>
            </w:r>
            <w:r>
              <w:rPr>
                <w:rFonts w:ascii="Calibri" w:hAnsi="Calibri"/>
                <w:color w:val="24292F"/>
                <w:sz w:val="18"/>
              </w:rPr>
              <w:t>); extração de relações espaciais e topológicas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Grafo de Cenas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G = (V, E)</w:t>
            </w:r>
            <w:r>
              <w:rPr>
                <w:rFonts w:ascii="Calibri" w:hAnsi="Calibri"/>
                <w:color w:val="24292F"/>
                <w:sz w:val="18"/>
              </w:rPr>
              <w:t xml:space="preserve"> com contenção, adjacência e deslocamentos</w:t>
            </w:r>
          </w:p>
        </w:tc>
      </w:tr>
      <w:tr>
        <w:trPr>
          <w:cantSplit/>
        </w:trPr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Estágio 3 · Poda</w:t>
            </w:r>
          </w:p>
        </w:tc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prune_dsl</w:t>
            </w:r>
          </w:p>
        </w:tc>
        <w:tc>
          <w:tcPr>
            <w:tcW w:type="dxa" w:w="3600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Comparação de deltas entre entrada e saída (preservação dimensional, escala, reflexão, cores ativas)</w:t>
            </w:r>
          </w:p>
        </w:tc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Sub-DSL Dinâmica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D</w:t>
            </w:r>
            <w:r>
              <w:rPr>
                <w:rFonts w:ascii="Cambria Math" w:hAnsi="Cambria Math"/>
                <w:b w:val="0"/>
                <w:color w:val="0F3C73"/>
                <w:sz w:val="18"/>
                <w:vertAlign w:val="superscript"/>
              </w:rPr>
              <w:t>*</w:t>
            </w:r>
            <w:r>
              <w:rPr>
                <w:rFonts w:ascii="Calibri" w:hAnsi="Calibri"/>
                <w:color w:val="24292F"/>
                <w:sz w:val="18"/>
              </w:rPr>
              <w:t xml:space="preserve"> (reduzida de 75 para 3 a 15 operadores)</w:t>
            </w:r>
          </w:p>
        </w:tc>
      </w:tr>
      <w:tr>
        <w:trPr>
          <w:cantSplit/>
        </w:trPr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Estágio 4 · Síntese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ARCSymbolicEngine</w:t>
            </w:r>
          </w:p>
        </w:tc>
        <w:tc>
          <w:tcPr>
            <w:tcW w:type="dxa" w:w="360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Busca enumerativa orientada pelo tamanho do programa; verificação estrita de acerto de 100%</w:t>
            </w:r>
          </w:p>
        </w:tc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Programa Determinístico Validado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P</w:t>
            </w:r>
            <w:r>
              <w:rPr>
                <w:rFonts w:ascii="Cambria Math" w:hAnsi="Cambria Math"/>
                <w:b w:val="0"/>
                <w:color w:val="0F3C73"/>
                <w:sz w:val="18"/>
                <w:vertAlign w:val="superscript"/>
              </w:rPr>
              <w:t>*</w:t>
            </w:r>
          </w:p>
        </w:tc>
      </w:tr>
      <w:tr>
        <w:trPr>
          <w:cantSplit/>
        </w:trPr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Estágio 5 · Inferência</w:t>
            </w:r>
          </w:p>
        </w:tc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Gerador de Submissão</w:t>
            </w:r>
          </w:p>
        </w:tc>
        <w:tc>
          <w:tcPr>
            <w:tcW w:type="dxa" w:w="3600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Execução de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P</w:t>
            </w:r>
            <w:r>
              <w:rPr>
                <w:rFonts w:ascii="Cambria Math" w:hAnsi="Cambria Math"/>
                <w:b w:val="0"/>
                <w:color w:val="0F3C73"/>
                <w:sz w:val="18"/>
                <w:vertAlign w:val="superscript"/>
              </w:rPr>
              <w:t>*</w:t>
            </w:r>
            <w:r>
              <w:rPr>
                <w:rFonts w:ascii="Calibri" w:hAnsi="Calibri"/>
                <w:color w:val="24292F"/>
                <w:sz w:val="18"/>
              </w:rPr>
              <w:t xml:space="preserve"> sobre a grade de teste inédita; gravação de </w:t>
            </w:r>
            <w:r>
              <w:rPr>
                <w:rFonts w:ascii="Consolas" w:hAnsi="Consolas"/>
                <w:b/>
                <w:color w:val="0F3C73"/>
                <w:sz w:val="16"/>
              </w:rPr>
              <w:t>attempt_1</w:t>
            </w:r>
            <w:r>
              <w:rPr>
                <w:rFonts w:ascii="Calibri" w:hAnsi="Calibri"/>
                <w:color w:val="24292F"/>
                <w:sz w:val="18"/>
              </w:rPr>
              <w:t xml:space="preserve"> e </w:t>
            </w:r>
            <w:r>
              <w:rPr>
                <w:rFonts w:ascii="Consolas" w:hAnsi="Consolas"/>
                <w:b/>
                <w:color w:val="0F3C73"/>
                <w:sz w:val="16"/>
              </w:rPr>
              <w:t>attempt_2</w:t>
            </w:r>
            <w:r>
              <w:rPr>
                <w:rFonts w:ascii="Calibri" w:hAnsi="Calibri"/>
                <w:color w:val="24292F"/>
                <w:sz w:val="18"/>
              </w:rPr>
              <w:t xml:space="preserve"> em </w:t>
            </w:r>
            <w:r>
              <w:rPr>
                <w:rFonts w:ascii="Consolas" w:hAnsi="Consolas"/>
                <w:b/>
                <w:color w:val="0F3C73"/>
                <w:sz w:val="16"/>
              </w:rPr>
              <w:t>submission.json</w:t>
            </w:r>
          </w:p>
        </w:tc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Submissão Válida e Pontuada no Kaggle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3"/>
        </w:rPr>
        <w:t>2.1 Percepção Discreta e Extração de Objetos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Dada uma grade bidimensional </w:t>
      </w:r>
      <w:r>
        <w:rPr>
          <w:rFonts w:ascii="Cambria Math" w:hAnsi="Cambria Math"/>
          <w:b w:val="0"/>
          <w:color w:val="0F3C73"/>
          <w:sz w:val="20"/>
        </w:rPr>
        <w:t>G</w:t>
      </w:r>
      <w:r>
        <w:rPr>
          <w:rFonts w:ascii="Calibri" w:hAnsi="Calibri"/>
          <w:color w:val="24292F"/>
          <w:sz w:val="20"/>
        </w:rPr>
        <w:t xml:space="preserve"> de dimensões </w:t>
      </w:r>
      <w:r>
        <w:rPr>
          <w:rFonts w:ascii="Cambria Math" w:hAnsi="Cambria Math"/>
          <w:b w:val="0"/>
          <w:color w:val="0F3C73"/>
          <w:sz w:val="20"/>
        </w:rPr>
        <w:t>H × W</w:t>
      </w:r>
      <w:r>
        <w:rPr>
          <w:rFonts w:ascii="Calibri" w:hAnsi="Calibri"/>
          <w:color w:val="24292F"/>
          <w:sz w:val="20"/>
        </w:rPr>
        <w:t>, o sistema isola a cor de fundo (</w:t>
      </w:r>
      <w:r>
        <w:rPr>
          <w:rFonts w:ascii="Cambria Math" w:hAnsi="Cambria Math"/>
          <w:b w:val="0"/>
          <w:color w:val="0F3C73"/>
          <w:sz w:val="20"/>
        </w:rPr>
        <w:t>c = 0</w:t>
      </w:r>
      <w:r>
        <w:rPr>
          <w:rFonts w:ascii="Calibri" w:hAnsi="Calibri"/>
          <w:color w:val="24292F"/>
          <w:sz w:val="20"/>
        </w:rPr>
        <w:t>) e segmenta as cores restantes (</w:t>
      </w:r>
      <w:r>
        <w:rPr>
          <w:rFonts w:ascii="Cambria Math" w:hAnsi="Cambria Math"/>
          <w:b w:val="0"/>
          <w:color w:val="0F3C73"/>
          <w:sz w:val="20"/>
        </w:rPr>
        <w:t>c ∈ \{1, …, 9\}</w:t>
      </w:r>
      <w:r>
        <w:rPr>
          <w:rFonts w:ascii="Calibri" w:hAnsi="Calibri"/>
          <w:color w:val="24292F"/>
          <w:sz w:val="20"/>
        </w:rPr>
        <w:t xml:space="preserve">) em componentes conectados. Cada objeto </w:t>
      </w:r>
      <w:r>
        <w:rPr>
          <w:rFonts w:ascii="Cambria Math" w:hAnsi="Cambria Math"/>
          <w:b w:val="0"/>
          <w:color w:val="0F3C73"/>
          <w:sz w:val="20"/>
        </w:rPr>
        <w:t>o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</w:t>
      </w:r>
      <w:r>
        <w:rPr>
          <w:rFonts w:ascii="Calibri" w:hAnsi="Calibri"/>
          <w:color w:val="24292F"/>
          <w:sz w:val="20"/>
        </w:rPr>
        <w:t xml:space="preserve"> identificado é formalizado como uma 5-tupla de propriedades físicas e espaciais:</w:t>
      </w:r>
    </w:p>
    <w:p>
      <w:pPr>
        <w:spacing w:before="120" w:after="120"/>
        <w:jc w:val="center"/>
      </w:pPr>
      <w:r>
        <w:rPr>
          <w:rFonts w:ascii="Cambria Math" w:hAnsi="Cambria Math"/>
          <w:b/>
          <w:color w:val="0F3C73"/>
          <w:sz w:val="22"/>
        </w:rPr>
        <w:t>o</w:t>
      </w:r>
      <w:r>
        <w:rPr>
          <w:rFonts w:ascii="Cambria Math" w:hAnsi="Cambria Math"/>
          <w:b/>
          <w:color w:val="0F3C73"/>
          <w:sz w:val="22"/>
          <w:vertAlign w:val="subscript"/>
        </w:rPr>
        <w:t>i</w:t>
      </w:r>
      <w:r>
        <w:rPr>
          <w:rFonts w:ascii="Cambria Math" w:hAnsi="Cambria Math"/>
          <w:b/>
          <w:color w:val="0F3C73"/>
          <w:sz w:val="22"/>
        </w:rPr>
        <w:t xml:space="preserve"> = ⟨ c</w:t>
      </w:r>
      <w:r>
        <w:rPr>
          <w:rFonts w:ascii="Cambria Math" w:hAnsi="Cambria Math"/>
          <w:b/>
          <w:color w:val="0F3C73"/>
          <w:sz w:val="22"/>
          <w:vertAlign w:val="subscript"/>
        </w:rPr>
        <w:t>i</w:t>
      </w:r>
      <w:r>
        <w:rPr>
          <w:rFonts w:ascii="Cambria Math" w:hAnsi="Cambria Math"/>
          <w:b/>
          <w:color w:val="0F3C73"/>
          <w:sz w:val="22"/>
        </w:rPr>
        <w:t>, M</w:t>
      </w:r>
      <w:r>
        <w:rPr>
          <w:rFonts w:ascii="Cambria Math" w:hAnsi="Cambria Math"/>
          <w:b/>
          <w:color w:val="0F3C73"/>
          <w:sz w:val="22"/>
          <w:vertAlign w:val="subscript"/>
        </w:rPr>
        <w:t>i</w:t>
      </w:r>
      <w:r>
        <w:rPr>
          <w:rFonts w:ascii="Cambria Math" w:hAnsi="Cambria Math"/>
          <w:b/>
          <w:color w:val="0F3C73"/>
          <w:sz w:val="22"/>
        </w:rPr>
        <w:t>, b</w:t>
      </w:r>
      <w:r>
        <w:rPr>
          <w:rFonts w:ascii="Cambria Math" w:hAnsi="Cambria Math"/>
          <w:b/>
          <w:color w:val="0F3C73"/>
          <w:sz w:val="22"/>
          <w:vertAlign w:val="subscript"/>
        </w:rPr>
        <w:t>i</w:t>
      </w:r>
      <w:r>
        <w:rPr>
          <w:rFonts w:ascii="Cambria Math" w:hAnsi="Cambria Math"/>
          <w:b/>
          <w:color w:val="0F3C73"/>
          <w:sz w:val="22"/>
        </w:rPr>
        <w:t>, A</w:t>
      </w:r>
      <w:r>
        <w:rPr>
          <w:rFonts w:ascii="Cambria Math" w:hAnsi="Cambria Math"/>
          <w:b/>
          <w:color w:val="0F3C73"/>
          <w:sz w:val="22"/>
          <w:vertAlign w:val="subscript"/>
        </w:rPr>
        <w:t>i</w:t>
      </w:r>
      <w:r>
        <w:rPr>
          <w:rFonts w:ascii="Cambria Math" w:hAnsi="Cambria Math"/>
          <w:b/>
          <w:color w:val="0F3C73"/>
          <w:sz w:val="22"/>
        </w:rPr>
        <w:t>, c</w:t>
      </w:r>
      <w:r>
        <w:rPr>
          <w:rFonts w:ascii="Cambria Math" w:hAnsi="Cambria Math"/>
          <w:b/>
          <w:color w:val="0F3C73"/>
          <w:sz w:val="22"/>
          <w:vertAlign w:val="subscript"/>
        </w:rPr>
        <w:t>i</w:t>
      </w:r>
      <w:r>
        <w:rPr>
          <w:rFonts w:ascii="Cambria Math" w:hAnsi="Cambria Math"/>
          <w:b/>
          <w:color w:val="0F3C73"/>
          <w:sz w:val="22"/>
          <w:vertAlign w:val="superscript"/>
        </w:rPr>
        <w:t>*</w:t>
      </w:r>
      <w:r>
        <w:rPr>
          <w:rFonts w:ascii="Cambria Math" w:hAnsi="Cambria Math"/>
          <w:b/>
          <w:color w:val="0F3C73"/>
          <w:sz w:val="22"/>
        </w:rPr>
        <w:t xml:space="preserve"> ⟩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Onde cada componente descreve atributos concretos da entidade: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Cor (</w:t>
      </w:r>
      <w:r>
        <w:rPr>
          <w:rFonts w:ascii="Cambria Math" w:hAnsi="Cambria Math"/>
          <w:b/>
          <w:color w:val="0F3C73"/>
          <w:sz w:val="20"/>
        </w:rPr>
        <w:t>c</w:t>
      </w:r>
      <w:r>
        <w:rPr>
          <w:rFonts w:ascii="Cambria Math" w:hAnsi="Cambria Math"/>
          <w:b/>
          <w:color w:val="0F3C73"/>
          <w:sz w:val="20"/>
          <w:vertAlign w:val="subscript"/>
        </w:rPr>
        <w:t>i</w:t>
      </w:r>
      <w:r>
        <w:rPr>
          <w:rFonts w:ascii="Calibri" w:hAnsi="Calibri"/>
          <w:b/>
          <w:color w:val="24292F"/>
          <w:sz w:val="20"/>
        </w:rPr>
        <w:t>):</w:t>
      </w:r>
      <w:r>
        <w:rPr>
          <w:rFonts w:ascii="Calibri" w:hAnsi="Calibri"/>
          <w:color w:val="24292F"/>
          <w:sz w:val="20"/>
        </w:rPr>
        <w:t xml:space="preserve"> Rótulo numérico da cor do objeto (inteiro de 1 a 9);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Máscara Espacial (</w:t>
      </w:r>
      <w:r>
        <w:rPr>
          <w:rFonts w:ascii="Cambria Math" w:hAnsi="Cambria Math"/>
          <w:b/>
          <w:color w:val="0F3C73"/>
          <w:sz w:val="20"/>
        </w:rPr>
        <w:t>M</w:t>
      </w:r>
      <w:r>
        <w:rPr>
          <w:rFonts w:ascii="Cambria Math" w:hAnsi="Cambria Math"/>
          <w:b/>
          <w:color w:val="0F3C73"/>
          <w:sz w:val="20"/>
          <w:vertAlign w:val="subscript"/>
        </w:rPr>
        <w:t>i</w:t>
      </w:r>
      <w:r>
        <w:rPr>
          <w:rFonts w:ascii="Calibri" w:hAnsi="Calibri"/>
          <w:b/>
          <w:color w:val="24292F"/>
          <w:sz w:val="20"/>
        </w:rPr>
        <w:t>):</w:t>
      </w:r>
      <w:r>
        <w:rPr>
          <w:rFonts w:ascii="Calibri" w:hAnsi="Calibri"/>
          <w:color w:val="24292F"/>
          <w:sz w:val="20"/>
        </w:rPr>
        <w:t xml:space="preserve"> Matriz booleana indicando os pixels exatos ocupados pelo objeto na grade;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Caixa Delimitadora (</w:t>
      </w:r>
      <w:r>
        <w:rPr>
          <w:rFonts w:ascii="Cambria Math" w:hAnsi="Cambria Math"/>
          <w:b/>
          <w:color w:val="0F3C73"/>
          <w:sz w:val="20"/>
        </w:rPr>
        <w:t>b</w:t>
      </w:r>
      <w:r>
        <w:rPr>
          <w:rFonts w:ascii="Cambria Math" w:hAnsi="Cambria Math"/>
          <w:b/>
          <w:color w:val="0F3C73"/>
          <w:sz w:val="20"/>
          <w:vertAlign w:val="subscript"/>
        </w:rPr>
        <w:t>i</w:t>
      </w:r>
      <w:r>
        <w:rPr>
          <w:rFonts w:ascii="Calibri" w:hAnsi="Calibri"/>
          <w:b/>
          <w:color w:val="24292F"/>
          <w:sz w:val="20"/>
        </w:rPr>
        <w:t>):</w:t>
      </w:r>
      <w:r>
        <w:rPr>
          <w:rFonts w:ascii="Calibri" w:hAnsi="Calibri"/>
          <w:color w:val="24292F"/>
          <w:sz w:val="20"/>
        </w:rPr>
        <w:t xml:space="preserve"> Caixa retangular mínima envolvente (*bounding box* com coordenadas </w:t>
      </w:r>
      <w:r>
        <w:rPr>
          <w:rFonts w:ascii="Cambria Math" w:hAnsi="Cambria Math"/>
          <w:b w:val="0"/>
          <w:color w:val="0F3C73"/>
          <w:sz w:val="20"/>
        </w:rPr>
        <w:t>x, y</w:t>
      </w:r>
      <w:r>
        <w:rPr>
          <w:rFonts w:ascii="Calibri" w:hAnsi="Calibri"/>
          <w:color w:val="24292F"/>
          <w:sz w:val="20"/>
        </w:rPr>
        <w:t xml:space="preserve">, largura </w:t>
      </w:r>
      <w:r>
        <w:rPr>
          <w:rFonts w:ascii="Cambria Math" w:hAnsi="Cambria Math"/>
          <w:b w:val="0"/>
          <w:color w:val="0F3C73"/>
          <w:sz w:val="20"/>
        </w:rPr>
        <w:t>w</w:t>
      </w:r>
      <w:r>
        <w:rPr>
          <w:rFonts w:ascii="Calibri" w:hAnsi="Calibri"/>
          <w:color w:val="24292F"/>
          <w:sz w:val="20"/>
        </w:rPr>
        <w:t xml:space="preserve"> e altura </w:t>
      </w:r>
      <w:r>
        <w:rPr>
          <w:rFonts w:ascii="Cambria Math" w:hAnsi="Cambria Math"/>
          <w:b w:val="0"/>
          <w:color w:val="0F3C73"/>
          <w:sz w:val="20"/>
        </w:rPr>
        <w:t>h</w:t>
      </w:r>
      <w:r>
        <w:rPr>
          <w:rFonts w:ascii="Calibri" w:hAnsi="Calibri"/>
          <w:color w:val="24292F"/>
          <w:sz w:val="20"/>
        </w:rPr>
        <w:t>);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Área ou Massa (</w:t>
      </w:r>
      <w:r>
        <w:rPr>
          <w:rFonts w:ascii="Cambria Math" w:hAnsi="Cambria Math"/>
          <w:b/>
          <w:color w:val="0F3C73"/>
          <w:sz w:val="20"/>
        </w:rPr>
        <w:t>A</w:t>
      </w:r>
      <w:r>
        <w:rPr>
          <w:rFonts w:ascii="Cambria Math" w:hAnsi="Cambria Math"/>
          <w:b/>
          <w:color w:val="0F3C73"/>
          <w:sz w:val="20"/>
          <w:vertAlign w:val="subscript"/>
        </w:rPr>
        <w:t>i</w:t>
      </w:r>
      <w:r>
        <w:rPr>
          <w:rFonts w:ascii="Calibri" w:hAnsi="Calibri"/>
          <w:b/>
          <w:color w:val="24292F"/>
          <w:sz w:val="20"/>
        </w:rPr>
        <w:t>):</w:t>
      </w:r>
      <w:r>
        <w:rPr>
          <w:rFonts w:ascii="Calibri" w:hAnsi="Calibri"/>
          <w:color w:val="24292F"/>
          <w:sz w:val="20"/>
        </w:rPr>
        <w:t xml:space="preserve"> Contagem total de pixels pertencentes ao objeto;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color w:val="24292F"/>
          <w:sz w:val="20"/>
        </w:rPr>
        <w:t>**Centroide (</w:t>
      </w:r>
      <w:r>
        <w:rPr>
          <w:rFonts w:ascii="Cambria Math" w:hAnsi="Cambria Math"/>
          <w:b w:val="0"/>
          <w:color w:val="0F3C73"/>
          <w:sz w:val="20"/>
        </w:rPr>
        <w:t>c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</w:t>
      </w:r>
      <w:r>
        <w:rPr>
          <w:rFonts w:ascii="Cambria Math" w:hAnsi="Cambria Math"/>
          <w:b w:val="0"/>
          <w:color w:val="0F3C73"/>
          <w:sz w:val="20"/>
          <w:vertAlign w:val="superscript"/>
        </w:rPr>
        <w:t>*</w:t>
      </w:r>
      <w:r>
        <w:rPr>
          <w:rFonts w:ascii="Calibri" w:hAnsi="Calibri"/>
          <w:color w:val="24292F"/>
          <w:sz w:val="20"/>
        </w:rPr>
        <w:t>):** Posição central média de massa do objeto nas coordenadas bidimensionais.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4292F"/>
          <w:sz w:val="20"/>
        </w:rPr>
        <w:t>Invariância de Conectividade:</w:t>
      </w:r>
      <w:r>
        <w:rPr>
          <w:rFonts w:ascii="Calibri" w:hAnsi="Calibri"/>
          <w:color w:val="24292F"/>
          <w:sz w:val="20"/>
        </w:rPr>
        <w:t xml:space="preserve"> A topologia de adjacência pode ser operada sob 4-conectividade (padrão estrito ortogonal do ARC) ou 8-conectividade (incluindo diagonais), implementada através de </w:t>
      </w:r>
      <w:r>
        <w:rPr>
          <w:rFonts w:ascii="Consolas" w:hAnsi="Consolas"/>
          <w:b/>
          <w:color w:val="0F3C73"/>
          <w:sz w:val="18"/>
        </w:rPr>
        <w:t>cv2.connectedComponents</w:t>
      </w:r>
      <w:r>
        <w:rPr>
          <w:rFonts w:ascii="Calibri" w:hAnsi="Calibri"/>
          <w:color w:val="24292F"/>
          <w:sz w:val="20"/>
        </w:rPr>
        <w:t xml:space="preserve"> com fallback automático para busca em largura pura (BFS) sobre NumPy, eliminando dependências rígidas de sistema operacional.</w:t>
      </w: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3"/>
        </w:rPr>
        <w:t>2.2 O Grafo de Cenas Topológico (TSG)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A percepção visual é estruturada no grafo atribuído direcionado </w:t>
      </w:r>
      <w:r>
        <w:rPr>
          <w:rFonts w:ascii="Cambria Math" w:hAnsi="Cambria Math"/>
          <w:b w:val="0"/>
          <w:color w:val="0F3C73"/>
          <w:sz w:val="20"/>
        </w:rPr>
        <w:t>G = (V, E)</w:t>
      </w:r>
      <w:r>
        <w:rPr>
          <w:rFonts w:ascii="Calibri" w:hAnsi="Calibri"/>
          <w:color w:val="24292F"/>
          <w:sz w:val="20"/>
        </w:rPr>
        <w:t xml:space="preserve">, onde os vértices </w:t>
      </w:r>
      <w:r>
        <w:rPr>
          <w:rFonts w:ascii="Cambria Math" w:hAnsi="Cambria Math"/>
          <w:b w:val="0"/>
          <w:color w:val="0F3C73"/>
          <w:sz w:val="20"/>
        </w:rPr>
        <w:t>V = \{o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1</w:t>
      </w:r>
      <w:r>
        <w:rPr>
          <w:rFonts w:ascii="Cambria Math" w:hAnsi="Cambria Math"/>
          <w:b w:val="0"/>
          <w:color w:val="0F3C73"/>
          <w:sz w:val="20"/>
        </w:rPr>
        <w:t>, …, o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n</w:t>
      </w:r>
      <w:r>
        <w:rPr>
          <w:rFonts w:ascii="Cambria Math" w:hAnsi="Cambria Math"/>
          <w:b w:val="0"/>
          <w:color w:val="0F3C73"/>
          <w:sz w:val="20"/>
        </w:rPr>
        <w:t>\}</w:t>
      </w:r>
      <w:r>
        <w:rPr>
          <w:rFonts w:ascii="Calibri" w:hAnsi="Calibri"/>
          <w:color w:val="24292F"/>
          <w:sz w:val="20"/>
        </w:rPr>
        <w:t xml:space="preserve"> representam os objetos identificados e as arestas direcionadas </w:t>
      </w:r>
      <w:r>
        <w:rPr>
          <w:rFonts w:ascii="Cambria Math" w:hAnsi="Cambria Math"/>
          <w:b w:val="0"/>
          <w:color w:val="0F3C73"/>
          <w:sz w:val="20"/>
        </w:rPr>
        <w:t>e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ij</w:t>
      </w:r>
      <w:r>
        <w:rPr>
          <w:rFonts w:ascii="Cambria Math" w:hAnsi="Cambria Math"/>
          <w:b w:val="0"/>
          <w:color w:val="0F3C73"/>
          <w:sz w:val="20"/>
        </w:rPr>
        <w:t xml:space="preserve"> = (o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</w:t>
      </w:r>
      <w:r>
        <w:rPr>
          <w:rFonts w:ascii="Cambria Math" w:hAnsi="Cambria Math"/>
          <w:b w:val="0"/>
          <w:color w:val="0F3C73"/>
          <w:sz w:val="20"/>
        </w:rPr>
        <w:t>, o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j</w:t>
      </w:r>
      <w:r>
        <w:rPr>
          <w:rFonts w:ascii="Cambria Math" w:hAnsi="Cambria Math"/>
          <w:b w:val="0"/>
          <w:color w:val="0F3C73"/>
          <w:sz w:val="20"/>
        </w:rPr>
        <w:t>, r, Δ c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ij</w:t>
      </w:r>
      <w:r>
        <w:rPr>
          <w:rFonts w:ascii="Cambria Math" w:hAnsi="Cambria Math"/>
          <w:b w:val="0"/>
          <w:color w:val="0F3C73"/>
          <w:sz w:val="20"/>
        </w:rPr>
        <w:t>) ∈ E</w:t>
      </w:r>
      <w:r>
        <w:rPr>
          <w:rFonts w:ascii="Calibri" w:hAnsi="Calibri"/>
          <w:color w:val="24292F"/>
          <w:sz w:val="20"/>
        </w:rPr>
        <w:t xml:space="preserve"> definem predicados espaciais e topológicos estritos: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1. </w:t>
      </w:r>
      <w:r>
        <w:rPr>
          <w:rFonts w:ascii="Calibri" w:hAnsi="Calibri"/>
          <w:b/>
          <w:color w:val="24292F"/>
          <w:sz w:val="20"/>
        </w:rPr>
        <w:t>Contenção / Enclosure (`contains`):</w:t>
      </w:r>
      <w:r>
        <w:rPr>
          <w:rFonts w:ascii="Calibri" w:hAnsi="Calibri"/>
          <w:color w:val="24292F"/>
          <w:sz w:val="20"/>
        </w:rPr>
        <w:t xml:space="preserve"> O objeto </w:t>
      </w:r>
      <w:r>
        <w:rPr>
          <w:rFonts w:ascii="Cambria Math" w:hAnsi="Cambria Math"/>
          <w:b w:val="0"/>
          <w:color w:val="0F3C73"/>
          <w:sz w:val="20"/>
        </w:rPr>
        <w:t>o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j</w:t>
      </w:r>
      <w:r>
        <w:rPr>
          <w:rFonts w:ascii="Calibri" w:hAnsi="Calibri"/>
          <w:color w:val="24292F"/>
          <w:sz w:val="20"/>
        </w:rPr>
        <w:t xml:space="preserve"> está inteiramente contido dentro de uma cavidade topológica fechada (furo) de </w:t>
      </w:r>
      <w:r>
        <w:rPr>
          <w:rFonts w:ascii="Cambria Math" w:hAnsi="Cambria Math"/>
          <w:b w:val="0"/>
          <w:color w:val="0F3C73"/>
          <w:sz w:val="20"/>
        </w:rPr>
        <w:t>o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</w:t>
      </w:r>
      <w:r>
        <w:rPr>
          <w:rFonts w:ascii="Calibri" w:hAnsi="Calibri"/>
          <w:color w:val="24292F"/>
          <w:sz w:val="20"/>
        </w:rPr>
        <w:t xml:space="preserve">. O cálculo das cavidades é computado pelo operador </w:t>
      </w:r>
      <w:r>
        <w:rPr>
          <w:rFonts w:ascii="Consolas" w:hAnsi="Consolas"/>
          <w:b/>
          <w:color w:val="0F3C73"/>
          <w:sz w:val="18"/>
        </w:rPr>
        <w:t>enclosed_cells(\mathcal{M}_i)</w:t>
      </w:r>
      <w:r>
        <w:rPr>
          <w:rFonts w:ascii="Calibri" w:hAnsi="Calibri"/>
          <w:color w:val="24292F"/>
          <w:sz w:val="20"/>
        </w:rPr>
        <w:t>: realiza-se um flood-fill a partir das quatro bordas da grade sobre os pixels vazios; qualquer célula não-máscara inalcançável pelo exterior constitui um furo enclausurado. Cada nó armazena seu número de células de cavidade (</w:t>
      </w:r>
      <w:r>
        <w:rPr>
          <w:rFonts w:ascii="Cambria Math" w:hAnsi="Cambria Math"/>
          <w:b w:val="0"/>
          <w:color w:val="0F3C73"/>
          <w:sz w:val="20"/>
        </w:rPr>
        <w:t>n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hole</w:t>
      </w:r>
      <w:r>
        <w:rPr>
          <w:rFonts w:ascii="Calibri" w:hAnsi="Calibri"/>
          <w:color w:val="24292F"/>
          <w:sz w:val="20"/>
        </w:rPr>
        <w:t>).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2. </w:t>
      </w:r>
      <w:r>
        <w:rPr>
          <w:rFonts w:ascii="Calibri" w:hAnsi="Calibri"/>
          <w:b/>
          <w:color w:val="24292F"/>
          <w:sz w:val="20"/>
        </w:rPr>
        <w:t>Adjacência Ortogonal (`adjacent`):</w:t>
      </w:r>
      <w:r>
        <w:rPr>
          <w:rFonts w:ascii="Calibri" w:hAnsi="Calibri"/>
          <w:color w:val="24292F"/>
          <w:sz w:val="20"/>
        </w:rPr>
        <w:t xml:space="preserve"> As máscaras de suporte de </w:t>
      </w:r>
      <w:r>
        <w:rPr>
          <w:rFonts w:ascii="Cambria Math" w:hAnsi="Cambria Math"/>
          <w:b w:val="0"/>
          <w:color w:val="0F3C73"/>
          <w:sz w:val="20"/>
        </w:rPr>
        <w:t>o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</w:t>
      </w:r>
      <w:r>
        <w:rPr>
          <w:rFonts w:ascii="Calibri" w:hAnsi="Calibri"/>
          <w:color w:val="24292F"/>
          <w:sz w:val="20"/>
        </w:rPr>
        <w:t xml:space="preserve"> e </w:t>
      </w:r>
      <w:r>
        <w:rPr>
          <w:rFonts w:ascii="Cambria Math" w:hAnsi="Cambria Math"/>
          <w:b w:val="0"/>
          <w:color w:val="0F3C73"/>
          <w:sz w:val="20"/>
        </w:rPr>
        <w:t>o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j</w:t>
      </w:r>
      <w:r>
        <w:rPr>
          <w:rFonts w:ascii="Calibri" w:hAnsi="Calibri"/>
          <w:color w:val="24292F"/>
          <w:sz w:val="20"/>
        </w:rPr>
        <w:t xml:space="preserve"> tocam-se ortogonalmente com distância de Manhattan menor ou igual a 1 (</w:t>
      </w:r>
      <w:r>
        <w:rPr>
          <w:rFonts w:ascii="Cambria Math" w:hAnsi="Cambria Math"/>
          <w:b w:val="0"/>
          <w:color w:val="0F3C73"/>
          <w:sz w:val="20"/>
        </w:rPr>
        <w:t>dist(M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</w:t>
      </w:r>
      <w:r>
        <w:rPr>
          <w:rFonts w:ascii="Cambria Math" w:hAnsi="Cambria Math"/>
          <w:b w:val="0"/>
          <w:color w:val="0F3C73"/>
          <w:sz w:val="20"/>
        </w:rPr>
        <w:t>, M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j</w:t>
      </w:r>
      <w:r>
        <w:rPr>
          <w:rFonts w:ascii="Cambria Math" w:hAnsi="Cambria Math"/>
          <w:b w:val="0"/>
          <w:color w:val="0F3C73"/>
          <w:sz w:val="20"/>
        </w:rPr>
        <w:t>) ≤ 1</w:t>
      </w:r>
      <w:r>
        <w:rPr>
          <w:rFonts w:ascii="Calibri" w:hAnsi="Calibri"/>
          <w:color w:val="24292F"/>
          <w:sz w:val="20"/>
        </w:rPr>
        <w:t>).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3. </w:t>
      </w:r>
      <w:r>
        <w:rPr>
          <w:rFonts w:ascii="Calibri" w:hAnsi="Calibri"/>
          <w:b/>
          <w:color w:val="24292F"/>
          <w:sz w:val="20"/>
        </w:rPr>
        <w:t>Vetor de Posição Relativa (`delta`):</w:t>
      </w:r>
      <w:r>
        <w:rPr>
          <w:rFonts w:ascii="Calibri" w:hAnsi="Calibri"/>
          <w:color w:val="24292F"/>
          <w:sz w:val="20"/>
        </w:rPr>
        <w:t xml:space="preserve"> Diferença euclidiana entre os centroides: </w:t>
      </w:r>
      <w:r>
        <w:rPr>
          <w:rFonts w:ascii="Cambria Math" w:hAnsi="Cambria Math"/>
          <w:b w:val="0"/>
          <w:color w:val="0F3C73"/>
          <w:sz w:val="20"/>
        </w:rPr>
        <w:t>Δ c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ij</w:t>
      </w:r>
      <w:r>
        <w:rPr>
          <w:rFonts w:ascii="Cambria Math" w:hAnsi="Cambria Math"/>
          <w:b w:val="0"/>
          <w:color w:val="0F3C73"/>
          <w:sz w:val="20"/>
        </w:rPr>
        <w:t xml:space="preserve"> = c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j</w:t>
      </w:r>
      <w:r>
        <w:rPr>
          <w:rFonts w:ascii="Cambria Math" w:hAnsi="Cambria Math"/>
          <w:b w:val="0"/>
          <w:color w:val="0F3C73"/>
          <w:sz w:val="20"/>
        </w:rPr>
        <w:t xml:space="preserve"> - c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</w:t>
      </w:r>
      <w:r>
        <w:rPr>
          <w:rFonts w:ascii="Calibri" w:hAnsi="Calibri"/>
          <w:color w:val="24292F"/>
          <w:sz w:val="20"/>
        </w:rPr>
        <w:t>.</w:t>
      </w: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3"/>
        </w:rPr>
        <w:t>2.3 Linguagem de Domínio Específico (DSL) Tipada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O T-NSE define uma DSL compacta e estritamente tipada contendo 75 primitivas fundamentais organizadas em cinco famílias funcionais: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592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Família</w:t>
            </w:r>
          </w:p>
        </w:tc>
        <w:tc>
          <w:tcPr>
            <w:tcW w:type="dxa" w:w="5040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Primitivas</w:t>
            </w:r>
          </w:p>
        </w:tc>
        <w:tc>
          <w:tcPr>
            <w:tcW w:type="dxa" w:w="1728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Cardinalidade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 xml:space="preserve">Afins (Grupo Diédrico </w:t>
            </w:r>
            <w:r>
              <w:rPr>
                <w:rFonts w:ascii="Cambria Math" w:hAnsi="Cambria Math"/>
                <w:b/>
                <w:color w:val="0F3C73"/>
                <w:sz w:val="18"/>
              </w:rPr>
              <w:t>D</w:t>
            </w:r>
            <w:r>
              <w:rPr>
                <w:rFonts w:ascii="Cambria Math" w:hAnsi="Cambria Math"/>
                <w:b/>
                <w:color w:val="0F3C73"/>
                <w:sz w:val="18"/>
                <w:vertAlign w:val="subscript"/>
              </w:rPr>
              <w:t>4</w:t>
            </w:r>
            <w:r>
              <w:rPr>
                <w:rFonts w:ascii="Calibri" w:hAnsi="Calibri"/>
                <w:b/>
                <w:color w:val="24292F"/>
                <w:sz w:val="18"/>
              </w:rPr>
              <w:t>)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rot90</w:t>
            </w:r>
            <w:r>
              <w:rPr>
                <w:rFonts w:ascii="Calibri" w:hAnsi="Calibri"/>
                <w:color w:val="24292F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F3C73"/>
                <w:sz w:val="16"/>
              </w:rPr>
              <w:t>rot180</w:t>
            </w:r>
            <w:r>
              <w:rPr>
                <w:rFonts w:ascii="Calibri" w:hAnsi="Calibri"/>
                <w:color w:val="24292F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F3C73"/>
                <w:sz w:val="16"/>
              </w:rPr>
              <w:t>rot270</w:t>
            </w:r>
            <w:r>
              <w:rPr>
                <w:rFonts w:ascii="Calibri" w:hAnsi="Calibri"/>
                <w:color w:val="24292F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F3C73"/>
                <w:sz w:val="16"/>
              </w:rPr>
              <w:t>flip_h</w:t>
            </w:r>
            <w:r>
              <w:rPr>
                <w:rFonts w:ascii="Calibri" w:hAnsi="Calibri"/>
                <w:color w:val="24292F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F3C73"/>
                <w:sz w:val="16"/>
              </w:rPr>
              <w:t>flip_v</w:t>
            </w:r>
            <w:r>
              <w:rPr>
                <w:rFonts w:ascii="Calibri" w:hAnsi="Calibri"/>
                <w:color w:val="24292F"/>
                <w:sz w:val="18"/>
              </w:rPr>
              <w:t xml:space="preserve">, </w:t>
            </w:r>
            <w:r>
              <w:rPr>
                <w:rFonts w:ascii="Consolas" w:hAnsi="Consolas"/>
                <w:b/>
                <w:color w:val="0F3C73"/>
                <w:sz w:val="16"/>
              </w:rPr>
              <w:t>transpose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2592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Topológicas</w:t>
            </w:r>
          </w:p>
        </w:tc>
        <w:tc>
          <w:tcPr>
            <w:tcW w:type="dxa" w:w="5040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fill_holes(c)</w:t>
            </w:r>
            <w:r>
              <w:rPr>
                <w:rFonts w:ascii="Calibri" w:hAnsi="Calibri"/>
                <w:color w:val="24292F"/>
                <w:sz w:val="18"/>
              </w:rPr>
              <w:t xml:space="preserve">: preenche furos fechados com cor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c ∈ \{1..9\}</w:t>
            </w:r>
          </w:p>
        </w:tc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Colorimétricas (Paleta)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recolor_all(c)</w:t>
            </w:r>
            <w:r>
              <w:rPr>
                <w:rFonts w:ascii="Calibri" w:hAnsi="Calibri"/>
                <w:color w:val="24292F"/>
                <w:sz w:val="18"/>
              </w:rPr>
              <w:t xml:space="preserve">: substitui pixels foreground pela cor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c ∈ \{1..9\}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type="dxa" w:w="2592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Geométricas (Translação)</w:t>
            </w:r>
          </w:p>
        </w:tc>
        <w:tc>
          <w:tcPr>
            <w:tcW w:type="dxa" w:w="5040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translate(dx, dy)</w:t>
            </w:r>
            <w:r>
              <w:rPr>
                <w:rFonts w:ascii="Calibri" w:hAnsi="Calibri"/>
                <w:color w:val="24292F"/>
                <w:sz w:val="18"/>
              </w:rPr>
              <w:t xml:space="preserve"> para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dx, dy ∈ \{-3..3\} \setminus \{(0,0)\}</w:t>
            </w:r>
          </w:p>
        </w:tc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48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Estruturais / Fractais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fractal_self_tile</w:t>
            </w:r>
            <w:r>
              <w:rPr>
                <w:rFonts w:ascii="Calibri" w:hAnsi="Calibri"/>
                <w:color w:val="24292F"/>
                <w:sz w:val="18"/>
              </w:rPr>
              <w:t xml:space="preserve"> (auto-similaridade Kronecker), </w:t>
            </w:r>
            <w:r>
              <w:rPr>
                <w:rFonts w:ascii="Consolas" w:hAnsi="Consolas"/>
                <w:b/>
                <w:color w:val="0F3C73"/>
                <w:sz w:val="16"/>
              </w:rPr>
              <w:t>upscale(k)</w:t>
            </w:r>
            <w:r>
              <w:rPr>
                <w:rFonts w:ascii="Calibri" w:hAnsi="Calibri"/>
                <w:color w:val="24292F"/>
                <w:sz w:val="18"/>
              </w:rPr>
              <w:t xml:space="preserve"> para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k ∈ \{2, 3\}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type="dxa" w:w="2592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Identidade</w:t>
            </w:r>
          </w:p>
        </w:tc>
        <w:tc>
          <w:tcPr>
            <w:tcW w:type="dxa" w:w="5040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identity</w:t>
            </w:r>
          </w:p>
        </w:tc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2592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Total</w:t>
            </w:r>
          </w:p>
        </w:tc>
        <w:tc>
          <w:tcPr>
            <w:tcW w:type="dxa" w:w="5040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75</w:t>
            </w:r>
          </w:p>
        </w:tc>
      </w:tr>
    </w:tbl>
    <w:p>
      <w:pPr>
        <w:spacing w:before="0" w:after="120"/>
      </w:pP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Duas primitivas estruturais utilizam a álgebra matricial através do produto de Kronecker (</w:t>
      </w:r>
      <w:r>
        <w:rPr>
          <w:rFonts w:ascii="Cambria Math" w:hAnsi="Cambria Math"/>
          <w:b w:val="0"/>
          <w:color w:val="0F3C73"/>
          <w:sz w:val="20"/>
        </w:rPr>
        <w:t>⊗</w:t>
      </w:r>
      <w:r>
        <w:rPr>
          <w:rFonts w:ascii="Calibri" w:hAnsi="Calibri"/>
          <w:color w:val="24292F"/>
          <w:sz w:val="20"/>
        </w:rPr>
        <w:t>), modelando a auto-similaridade fractal e a ampliação homogênea de resolução: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rPr>
          <w:tblHeader/>
          <w:cantSplit/>
        </w:trPr>
        <w:tc>
          <w:tcPr>
            <w:tcW w:type="dxa" w:w="2304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Operador Estrutural</w:t>
            </w:r>
          </w:p>
        </w:tc>
        <w:tc>
          <w:tcPr>
            <w:tcW w:type="dxa" w:w="3888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Descrição da Transformação</w:t>
            </w:r>
          </w:p>
        </w:tc>
        <w:tc>
          <w:tcPr>
            <w:tcW w:type="dxa" w:w="3168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Formulação Matricial Exata</w:t>
            </w:r>
          </w:p>
        </w:tc>
      </w:tr>
      <w:tr>
        <w:trPr>
          <w:cantSplit/>
        </w:trPr>
        <w:tc>
          <w:tcPr>
            <w:tcW w:type="dxa" w:w="230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fractal_self_tile(G)</w:t>
            </w:r>
          </w:p>
        </w:tc>
        <w:tc>
          <w:tcPr>
            <w:tcW w:type="dxa" w:w="388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Substitui cada pixel ativo por uma cópia completa da grade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G</w:t>
            </w:r>
            <w:r>
              <w:rPr>
                <w:rFonts w:ascii="Calibri" w:hAnsi="Calibri"/>
                <w:color w:val="24292F"/>
                <w:sz w:val="18"/>
              </w:rPr>
              <w:t>, gerando replicação fractal</w:t>
            </w:r>
          </w:p>
        </w:tc>
        <w:tc>
          <w:tcPr>
            <w:tcW w:type="dxa" w:w="316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mbria Math" w:hAnsi="Cambria Math"/>
                <w:b w:val="0"/>
                <w:color w:val="0F3C73"/>
                <w:sz w:val="18"/>
              </w:rPr>
              <w:t>G</w:t>
            </w:r>
            <w:r>
              <w:rPr>
                <w:rFonts w:ascii="Cambria Math" w:hAnsi="Cambria Math"/>
                <w:b w:val="0"/>
                <w:color w:val="0F3C73"/>
                <w:sz w:val="18"/>
                <w:vertAlign w:val="subscript"/>
              </w:rPr>
              <w:t>saída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 xml:space="preserve"> = (G &gt; 0) ⊗ G</w:t>
            </w:r>
            <w:r>
              <w:rPr>
                <w:rFonts w:ascii="Calibri" w:hAnsi="Calibri"/>
                <w:color w:val="24292F"/>
                <w:sz w:val="18"/>
              </w:rPr>
              <w:t xml:space="preserve"> </w:t>
            </w:r>
            <w:r>
              <w:br/>
            </w:r>
            <w:r>
              <w:rPr>
                <w:rFonts w:ascii="Calibri" w:hAnsi="Calibri"/>
                <w:color w:val="24292F"/>
                <w:sz w:val="18"/>
              </w:rPr>
              <w:t>*(Produto de Kronecker da máscara ativa pela grade original)*</w:t>
            </w:r>
          </w:p>
        </w:tc>
      </w:tr>
      <w:tr>
        <w:trPr>
          <w:cantSplit/>
        </w:trPr>
        <w:tc>
          <w:tcPr>
            <w:tcW w:type="dxa" w:w="230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upscale(G, k)</w:t>
            </w:r>
          </w:p>
        </w:tc>
        <w:tc>
          <w:tcPr>
            <w:tcW w:type="dxa" w:w="388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 xml:space="preserve">Ampliação uniforme por vizinho mais próximo por um fator de escala inteiro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k ∈ \{2, 3\}</w:t>
            </w:r>
          </w:p>
        </w:tc>
        <w:tc>
          <w:tcPr>
            <w:tcW w:type="dxa" w:w="316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mbria Math" w:hAnsi="Cambria Math"/>
                <w:b w:val="0"/>
                <w:color w:val="0F3C73"/>
                <w:sz w:val="18"/>
              </w:rPr>
              <w:t>G</w:t>
            </w:r>
            <w:r>
              <w:rPr>
                <w:rFonts w:ascii="Cambria Math" w:hAnsi="Cambria Math"/>
                <w:b w:val="0"/>
                <w:color w:val="0F3C73"/>
                <w:sz w:val="18"/>
                <w:vertAlign w:val="subscript"/>
              </w:rPr>
              <w:t>saída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 xml:space="preserve"> = G ⊗ 1</w:t>
            </w:r>
            <w:r>
              <w:rPr>
                <w:rFonts w:ascii="Cambria Math" w:hAnsi="Cambria Math"/>
                <w:b w:val="0"/>
                <w:color w:val="0F3C73"/>
                <w:sz w:val="18"/>
                <w:vertAlign w:val="subscript"/>
              </w:rPr>
              <w:t>k × k</w:t>
            </w:r>
            <w:r>
              <w:rPr>
                <w:rFonts w:ascii="Calibri" w:hAnsi="Calibri"/>
                <w:color w:val="24292F"/>
                <w:sz w:val="18"/>
              </w:rPr>
              <w:t xml:space="preserve"> </w:t>
            </w:r>
            <w:r>
              <w:br/>
            </w:r>
            <w:r>
              <w:rPr>
                <w:rFonts w:ascii="Calibri" w:hAnsi="Calibri"/>
                <w:color w:val="24292F"/>
                <w:sz w:val="18"/>
              </w:rPr>
              <w:t xml:space="preserve">*(Produto de Kronecker da grade por um bloco unitário de tamanho </w:t>
            </w:r>
            <w:r>
              <w:rPr>
                <w:rFonts w:ascii="Cambria Math" w:hAnsi="Cambria Math"/>
                <w:b w:val="0"/>
                <w:color w:val="0F3C73"/>
                <w:sz w:val="18"/>
              </w:rPr>
              <w:t>k × k</w:t>
            </w:r>
            <w:r>
              <w:rPr>
                <w:rFonts w:ascii="Calibri" w:hAnsi="Calibri"/>
                <w:color w:val="24292F"/>
                <w:sz w:val="18"/>
              </w:rPr>
              <w:t>)*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3"/>
        </w:rPr>
        <w:t>2.4 Poda Heurística de Hipóteses (TSG / Delta Pruning)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Para impedir a explosão combinatória, a função </w:t>
      </w:r>
      <w:r>
        <w:rPr>
          <w:rFonts w:ascii="Consolas" w:hAnsi="Consolas"/>
          <w:b/>
          <w:color w:val="0F3C73"/>
          <w:sz w:val="18"/>
        </w:rPr>
        <w:t>prune_dsl(train_pairs)</w:t>
      </w:r>
      <w:r>
        <w:rPr>
          <w:rFonts w:ascii="Calibri" w:hAnsi="Calibri"/>
          <w:color w:val="24292F"/>
          <w:sz w:val="20"/>
        </w:rPr>
        <w:t xml:space="preserve"> inspeciona as propriedades dimensionais e topológicas dos pares de demonstração antes de iniciar a busca: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color w:val="24292F"/>
          <w:sz w:val="20"/>
        </w:rPr>
        <w:t>Se as dimensões de entrada e saída coincidem em todos os exemplos, excluem-se operadores de redimensionamento e fractais, preservando rotações, espelhamentos, preenchimento de furos e translações;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color w:val="24292F"/>
          <w:sz w:val="20"/>
        </w:rPr>
        <w:t>Se as dimensões da grade sofrem transposição (</w:t>
      </w:r>
      <w:r>
        <w:rPr>
          <w:rFonts w:ascii="Cambria Math" w:hAnsi="Cambria Math"/>
          <w:b w:val="0"/>
          <w:color w:val="0F3C73"/>
          <w:sz w:val="20"/>
        </w:rPr>
        <w:t>H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out</w:t>
      </w:r>
      <w:r>
        <w:rPr>
          <w:rFonts w:ascii="Cambria Math" w:hAnsi="Cambria Math"/>
          <w:b w:val="0"/>
          <w:color w:val="0F3C73"/>
          <w:sz w:val="20"/>
        </w:rPr>
        <w:t xml:space="preserve"> = W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in</w:t>
      </w:r>
      <w:r>
        <w:rPr>
          <w:rFonts w:ascii="Calibri" w:hAnsi="Calibri"/>
          <w:color w:val="24292F"/>
          <w:sz w:val="20"/>
        </w:rPr>
        <w:t xml:space="preserve"> e </w:t>
      </w:r>
      <w:r>
        <w:rPr>
          <w:rFonts w:ascii="Cambria Math" w:hAnsi="Cambria Math"/>
          <w:b w:val="0"/>
          <w:color w:val="0F3C73"/>
          <w:sz w:val="20"/>
        </w:rPr>
        <w:t>W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out</w:t>
      </w:r>
      <w:r>
        <w:rPr>
          <w:rFonts w:ascii="Cambria Math" w:hAnsi="Cambria Math"/>
          <w:b w:val="0"/>
          <w:color w:val="0F3C73"/>
          <w:sz w:val="20"/>
        </w:rPr>
        <w:t xml:space="preserve"> = H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in</w:t>
      </w:r>
      <w:r>
        <w:rPr>
          <w:rFonts w:ascii="Calibri" w:hAnsi="Calibri"/>
          <w:color w:val="24292F"/>
          <w:sz w:val="20"/>
        </w:rPr>
        <w:t>), ativam-se estritamente rotações de 90°/270° e transposição matricial;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color w:val="24292F"/>
          <w:sz w:val="20"/>
        </w:rPr>
        <w:t xml:space="preserve">Se as dimensões escalam exatamente por fator </w:t>
      </w:r>
      <w:r>
        <w:rPr>
          <w:rFonts w:ascii="Cambria Math" w:hAnsi="Cambria Math"/>
          <w:b w:val="0"/>
          <w:color w:val="0F3C73"/>
          <w:sz w:val="20"/>
        </w:rPr>
        <w:t>k ∈ \{2, 3\}</w:t>
      </w:r>
      <w:r>
        <w:rPr>
          <w:rFonts w:ascii="Calibri" w:hAnsi="Calibri"/>
          <w:color w:val="24292F"/>
          <w:sz w:val="20"/>
        </w:rPr>
        <w:t xml:space="preserve">, a busca é restrita à família </w:t>
      </w:r>
      <w:r>
        <w:rPr>
          <w:rFonts w:ascii="Consolas" w:hAnsi="Consolas"/>
          <w:b/>
          <w:color w:val="0F3C73"/>
          <w:sz w:val="18"/>
        </w:rPr>
        <w:t>upscale(k)</w:t>
      </w:r>
      <w:r>
        <w:rPr>
          <w:rFonts w:ascii="Calibri" w:hAnsi="Calibri"/>
          <w:color w:val="24292F"/>
          <w:sz w:val="20"/>
        </w:rPr>
        <w:t>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color w:val="24292F"/>
          <w:sz w:val="20"/>
        </w:rPr>
        <w:t xml:space="preserve">Se </w:t>
      </w:r>
      <w:r>
        <w:rPr>
          <w:rFonts w:ascii="Cambria Math" w:hAnsi="Cambria Math"/>
          <w:b w:val="0"/>
          <w:color w:val="0F3C73"/>
          <w:sz w:val="20"/>
        </w:rPr>
        <w:t>H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out</w:t>
      </w:r>
      <w:r>
        <w:rPr>
          <w:rFonts w:ascii="Cambria Math" w:hAnsi="Cambria Math"/>
          <w:b w:val="0"/>
          <w:color w:val="0F3C73"/>
          <w:sz w:val="20"/>
        </w:rPr>
        <w:t xml:space="preserve"> = H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in</w:t>
      </w:r>
      <w:r>
        <w:rPr>
          <w:rFonts w:ascii="Cambria Math" w:hAnsi="Cambria Math"/>
          <w:b w:val="0"/>
          <w:color w:val="0F3C73"/>
          <w:sz w:val="20"/>
          <w:vertAlign w:val="superscript"/>
        </w:rPr>
        <w:t>2</w:t>
      </w:r>
      <w:r>
        <w:rPr>
          <w:rFonts w:ascii="Calibri" w:hAnsi="Calibri"/>
          <w:color w:val="24292F"/>
          <w:sz w:val="20"/>
        </w:rPr>
        <w:t xml:space="preserve"> e </w:t>
      </w:r>
      <w:r>
        <w:rPr>
          <w:rFonts w:ascii="Cambria Math" w:hAnsi="Cambria Math"/>
          <w:b w:val="0"/>
          <w:color w:val="0F3C73"/>
          <w:sz w:val="20"/>
        </w:rPr>
        <w:t>W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out</w:t>
      </w:r>
      <w:r>
        <w:rPr>
          <w:rFonts w:ascii="Cambria Math" w:hAnsi="Cambria Math"/>
          <w:b w:val="0"/>
          <w:color w:val="0F3C73"/>
          <w:sz w:val="20"/>
        </w:rPr>
        <w:t xml:space="preserve"> = W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in</w:t>
      </w:r>
      <w:r>
        <w:rPr>
          <w:rFonts w:ascii="Cambria Math" w:hAnsi="Cambria Math"/>
          <w:b w:val="0"/>
          <w:color w:val="0F3C73"/>
          <w:sz w:val="20"/>
          <w:vertAlign w:val="superscript"/>
        </w:rPr>
        <w:t>2</w:t>
      </w:r>
      <w:r>
        <w:rPr>
          <w:rFonts w:ascii="Calibri" w:hAnsi="Calibri"/>
          <w:color w:val="24292F"/>
          <w:sz w:val="20"/>
        </w:rPr>
        <w:t xml:space="preserve">, ativa-se imediatamente </w:t>
      </w:r>
      <w:r>
        <w:rPr>
          <w:rFonts w:ascii="Consolas" w:hAnsi="Consolas"/>
          <w:b/>
          <w:color w:val="0F3C73"/>
          <w:sz w:val="18"/>
        </w:rPr>
        <w:t>fractal_self_tile</w:t>
      </w:r>
      <w:r>
        <w:rPr>
          <w:rFonts w:ascii="Calibri" w:hAnsi="Calibri"/>
          <w:color w:val="24292F"/>
          <w:sz w:val="20"/>
        </w:rPr>
        <w:t>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color w:val="24292F"/>
          <w:sz w:val="20"/>
        </w:rPr>
        <w:t>Primitivas de preenchimento (</w:t>
      </w:r>
      <w:r>
        <w:rPr>
          <w:rFonts w:ascii="Consolas" w:hAnsi="Consolas"/>
          <w:b/>
          <w:color w:val="0F3C73"/>
          <w:sz w:val="18"/>
        </w:rPr>
        <w:t>fill_holes</w:t>
      </w:r>
      <w:r>
        <w:rPr>
          <w:rFonts w:ascii="Calibri" w:hAnsi="Calibri"/>
          <w:color w:val="24292F"/>
          <w:sz w:val="20"/>
        </w:rPr>
        <w:t>) e recolorização (</w:t>
      </w:r>
      <w:r>
        <w:rPr>
          <w:rFonts w:ascii="Consolas" w:hAnsi="Consolas"/>
          <w:b/>
          <w:color w:val="0F3C73"/>
          <w:sz w:val="18"/>
        </w:rPr>
        <w:t>recolor_all</w:t>
      </w:r>
      <w:r>
        <w:rPr>
          <w:rFonts w:ascii="Calibri" w:hAnsi="Calibri"/>
          <w:color w:val="24292F"/>
          <w:sz w:val="20"/>
        </w:rPr>
        <w:t>) são filtradas para incluir apenas cores efetivamente presentes no conjunto de saída (</w:t>
      </w:r>
      <w:r>
        <w:rPr>
          <w:rFonts w:ascii="Cambria Math" w:hAnsi="Cambria Math"/>
          <w:b w:val="0"/>
          <w:color w:val="0F3C73"/>
          <w:sz w:val="20"/>
        </w:rPr>
        <w:t>c ∈ Cores(G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out</w:t>
      </w:r>
      <w:r>
        <w:rPr>
          <w:rFonts w:ascii="Cambria Math" w:hAnsi="Cambria Math"/>
          <w:b w:val="0"/>
          <w:color w:val="0F3C73"/>
          <w:sz w:val="20"/>
        </w:rPr>
        <w:t>)</w:t>
      </w:r>
      <w:r>
        <w:rPr>
          <w:rFonts w:ascii="Calibri" w:hAnsi="Calibri"/>
          <w:color w:val="24292F"/>
          <w:sz w:val="20"/>
        </w:rPr>
        <w:t>).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Essa poda reduz o catálogo ativo de 75 para </w:t>
      </w:r>
      <w:r>
        <w:rPr>
          <w:rFonts w:ascii="Calibri" w:hAnsi="Calibri"/>
          <w:b/>
          <w:color w:val="24292F"/>
          <w:sz w:val="20"/>
        </w:rPr>
        <w:t>3 a 15 primitivas</w:t>
      </w:r>
      <w:r>
        <w:rPr>
          <w:rFonts w:ascii="Calibri" w:hAnsi="Calibri"/>
          <w:color w:val="24292F"/>
          <w:sz w:val="20"/>
        </w:rPr>
        <w:t>, viabilizando a busca completa de profundidade 1 em milissegundos e profundidade 2 em menos de um segundo por tarefa.</w:t>
      </w: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3"/>
        </w:rPr>
        <w:t>2.5 Função de Perda e Verificação Determinística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Dado um programa candidato </w:t>
      </w:r>
      <w:r>
        <w:rPr>
          <w:rFonts w:ascii="Cambria Math" w:hAnsi="Cambria Math"/>
          <w:b w:val="0"/>
          <w:color w:val="0F3C73"/>
          <w:sz w:val="20"/>
        </w:rPr>
        <w:t>P</w:t>
      </w:r>
      <w:r>
        <w:rPr>
          <w:rFonts w:ascii="Calibri" w:hAnsi="Calibri"/>
          <w:color w:val="24292F"/>
          <w:sz w:val="20"/>
        </w:rPr>
        <w:t xml:space="preserve"> composto por uma sequência de operadores, ele é testado sobre todos os </w:t>
      </w:r>
      <w:r>
        <w:rPr>
          <w:rFonts w:ascii="Cambria Math" w:hAnsi="Cambria Math"/>
          <w:b w:val="0"/>
          <w:color w:val="0F3C73"/>
          <w:sz w:val="20"/>
        </w:rPr>
        <w:t>K</w:t>
      </w:r>
      <w:r>
        <w:rPr>
          <w:rFonts w:ascii="Calibri" w:hAnsi="Calibri"/>
          <w:color w:val="24292F"/>
          <w:sz w:val="20"/>
        </w:rPr>
        <w:t xml:space="preserve"> pares de exemplos de treino </w:t>
      </w:r>
      <w:r>
        <w:rPr>
          <w:rFonts w:ascii="Cambria Math" w:hAnsi="Cambria Math"/>
          <w:b w:val="0"/>
          <w:color w:val="0F3C73"/>
          <w:sz w:val="20"/>
        </w:rPr>
        <w:t>\{(I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1</w:t>
      </w:r>
      <w:r>
        <w:rPr>
          <w:rFonts w:ascii="Cambria Math" w:hAnsi="Cambria Math"/>
          <w:b w:val="0"/>
          <w:color w:val="0F3C73"/>
          <w:sz w:val="20"/>
        </w:rPr>
        <w:t>, O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1</w:t>
      </w:r>
      <w:r>
        <w:rPr>
          <w:rFonts w:ascii="Cambria Math" w:hAnsi="Cambria Math"/>
          <w:b w:val="0"/>
          <w:color w:val="0F3C73"/>
          <w:sz w:val="20"/>
        </w:rPr>
        <w:t>), …, (I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K</w:t>
      </w:r>
      <w:r>
        <w:rPr>
          <w:rFonts w:ascii="Cambria Math" w:hAnsi="Cambria Math"/>
          <w:b w:val="0"/>
          <w:color w:val="0F3C73"/>
          <w:sz w:val="20"/>
        </w:rPr>
        <w:t>, O</w:t>
      </w:r>
      <w:r>
        <w:rPr>
          <w:rFonts w:ascii="Cambria Math" w:hAnsi="Cambria Math"/>
          <w:b w:val="0"/>
          <w:color w:val="0F3C73"/>
          <w:sz w:val="20"/>
          <w:vertAlign w:val="subscript"/>
        </w:rPr>
        <w:t>K</w:t>
      </w:r>
      <w:r>
        <w:rPr>
          <w:rFonts w:ascii="Cambria Math" w:hAnsi="Cambria Math"/>
          <w:b w:val="0"/>
          <w:color w:val="0F3C73"/>
          <w:sz w:val="20"/>
        </w:rPr>
        <w:t>)\}</w:t>
      </w:r>
      <w:r>
        <w:rPr>
          <w:rFonts w:ascii="Calibri" w:hAnsi="Calibri"/>
          <w:color w:val="24292F"/>
          <w:sz w:val="20"/>
        </w:rPr>
        <w:t>. A função de avaliação calcula a divergência exata de pixels:</w:t>
      </w:r>
    </w:p>
    <w:p>
      <w:pPr>
        <w:spacing w:before="120" w:after="120"/>
        <w:jc w:val="center"/>
      </w:pPr>
      <w:r>
        <w:rPr>
          <w:rFonts w:ascii="Cambria Math" w:hAnsi="Cambria Math"/>
          <w:b/>
          <w:color w:val="0F3C73"/>
          <w:sz w:val="22"/>
        </w:rPr>
        <w:t>Perda(P) = ∑ (k=1..K) Divergência(P(I</w:t>
      </w:r>
      <w:r>
        <w:rPr>
          <w:rFonts w:ascii="Cambria Math" w:hAnsi="Cambria Math"/>
          <w:b/>
          <w:color w:val="0F3C73"/>
          <w:sz w:val="22"/>
          <w:vertAlign w:val="subscript"/>
        </w:rPr>
        <w:t>k</w:t>
      </w:r>
      <w:r>
        <w:rPr>
          <w:rFonts w:ascii="Cambria Math" w:hAnsi="Cambria Math"/>
          <w:b/>
          <w:color w:val="0F3C73"/>
          <w:sz w:val="22"/>
        </w:rPr>
        <w:t>), O</w:t>
      </w:r>
      <w:r>
        <w:rPr>
          <w:rFonts w:ascii="Cambria Math" w:hAnsi="Cambria Math"/>
          <w:b/>
          <w:color w:val="0F3C73"/>
          <w:sz w:val="22"/>
          <w:vertAlign w:val="subscript"/>
        </w:rPr>
        <w:t>k</w:t>
      </w:r>
      <w:r>
        <w:rPr>
          <w:rFonts w:ascii="Cambria Math" w:hAnsi="Cambria Math"/>
          <w:b/>
          <w:color w:val="0F3C73"/>
          <w:sz w:val="22"/>
        </w:rPr>
        <w:t>)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color w:val="24292F"/>
          <w:sz w:val="20"/>
        </w:rPr>
        <w:t>Se as dimensões da grade gerada divergirem das dimensões da grade esperada, a perda é imediatamente infinita (</w:t>
      </w:r>
      <w:r>
        <w:rPr>
          <w:rFonts w:ascii="Cambria Math" w:hAnsi="Cambria Math"/>
          <w:b w:val="0"/>
          <w:color w:val="0F3C73"/>
          <w:sz w:val="20"/>
        </w:rPr>
        <w:t>Perda = ∞</w:t>
      </w:r>
      <w:r>
        <w:rPr>
          <w:rFonts w:ascii="Calibri" w:hAnsi="Calibri"/>
          <w:color w:val="24292F"/>
          <w:sz w:val="20"/>
        </w:rPr>
        <w:t>).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color w:val="24292F"/>
          <w:sz w:val="20"/>
        </w:rPr>
        <w:t>Caso contrário, a perda corresponde exatamente à quantidade de pixels divergentes entre o resultado obtido e o resultado esperado.</w:t>
      </w:r>
    </w:p>
    <w:p>
      <w:pPr>
        <w:spacing w:before="40" w:after="80" w:line="276" w:lineRule="auto"/>
      </w:pPr>
      <w:r>
        <w:rPr>
          <w:rFonts w:ascii="Calibri" w:hAnsi="Calibri"/>
          <w:b/>
          <w:color w:val="24292F"/>
          <w:sz w:val="20"/>
        </w:rPr>
        <w:t>Critério de Aceitação Determinístico:</w:t>
      </w:r>
    </w:p>
    <w:p>
      <w:pPr>
        <w:spacing w:before="120" w:after="120"/>
        <w:jc w:val="center"/>
      </w:pPr>
      <w:r>
        <w:rPr>
          <w:rFonts w:ascii="Cambria Math" w:hAnsi="Cambria Math"/>
          <w:b/>
          <w:color w:val="0F3C73"/>
          <w:sz w:val="22"/>
        </w:rPr>
        <w:t>Critério de Validação:     Perda(P</w:t>
      </w:r>
      <w:r>
        <w:rPr>
          <w:rFonts w:ascii="Cambria Math" w:hAnsi="Cambria Math"/>
          <w:b/>
          <w:color w:val="0F3C73"/>
          <w:sz w:val="22"/>
          <w:vertAlign w:val="superscript"/>
        </w:rPr>
        <w:t>*</w:t>
      </w:r>
      <w:r>
        <w:rPr>
          <w:rFonts w:ascii="Cambria Math" w:hAnsi="Cambria Math"/>
          <w:b/>
          <w:color w:val="0F3C73"/>
          <w:sz w:val="22"/>
        </w:rPr>
        <w:t>) = 0     (100% de acerto exato em todos os exemplos)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Um programa só é aceito se zerar absolutamente todos os erros em todos os exemplos de treino. Em seguida, a solução validada é executada sobre a entrada de teste inédita:</w:t>
      </w:r>
    </w:p>
    <w:p>
      <w:pPr>
        <w:spacing w:before="120" w:after="120"/>
        <w:jc w:val="center"/>
      </w:pPr>
      <w:r>
        <w:rPr>
          <w:rFonts w:ascii="Cambria Math" w:hAnsi="Cambria Math"/>
          <w:b/>
          <w:color w:val="0F3C73"/>
          <w:sz w:val="22"/>
        </w:rPr>
        <w:t>Grade de Teste Resolvida = P</w:t>
      </w:r>
      <w:r>
        <w:rPr>
          <w:rFonts w:ascii="Cambria Math" w:hAnsi="Cambria Math"/>
          <w:b/>
          <w:color w:val="0F3C73"/>
          <w:sz w:val="22"/>
          <w:vertAlign w:val="superscript"/>
        </w:rPr>
        <w:t>*</w:t>
      </w:r>
      <w:r>
        <w:rPr>
          <w:rFonts w:ascii="Cambria Math" w:hAnsi="Cambria Math"/>
          <w:b/>
          <w:color w:val="0F3C73"/>
          <w:sz w:val="22"/>
        </w:rPr>
        <w:t>(I</w:t>
      </w:r>
      <w:r>
        <w:rPr>
          <w:rFonts w:ascii="Cambria Math" w:hAnsi="Cambria Math"/>
          <w:b/>
          <w:color w:val="0F3C73"/>
          <w:sz w:val="22"/>
          <w:vertAlign w:val="subscript"/>
        </w:rPr>
        <w:t>teste</w:t>
      </w:r>
      <w:r>
        <w:rPr>
          <w:rFonts w:ascii="Cambria Math" w:hAnsi="Cambria Math"/>
          <w:b/>
          <w:color w:val="0F3C73"/>
          <w:sz w:val="22"/>
        </w:rPr>
        <w:t>)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7"/>
        </w:rPr>
        <w:t>3. Validação Empírica e Benchmark Oficial (Accuracy &amp; Completeness)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A arquitetura foi submetida a baterias rigorosas de testes sintéticos e benchmarks reais do ARC: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0D7DE"/>
          <w:bottom w:val="single" w:sz="4" w:space="0" w:color="D0D7DE"/>
          <w:insideH w:val="single" w:sz="4" w:space="0" w:color="D0D7DE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  <w:cantSplit/>
        </w:trPr>
        <w:tc>
          <w:tcPr>
            <w:tcW w:type="dxa" w:w="2016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Caso de Teste</w:t>
            </w:r>
          </w:p>
        </w:tc>
        <w:tc>
          <w:tcPr>
            <w:tcW w:type="dxa" w:w="2448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Regra Oculta</w:t>
            </w:r>
          </w:p>
        </w:tc>
        <w:tc>
          <w:tcPr>
            <w:tcW w:type="dxa" w:w="1584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Primitivas Testadas</w:t>
            </w:r>
          </w:p>
        </w:tc>
        <w:tc>
          <w:tcPr>
            <w:tcW w:type="dxa" w:w="1728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T-NSE</w:t>
            </w:r>
          </w:p>
        </w:tc>
        <w:tc>
          <w:tcPr>
            <w:tcW w:type="dxa" w:w="1584"/>
            <w:shd w:fill="0F3C73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before="0" w:after="0" w:line="252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Tarefa Oficial `007bbfb7`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Auto-replicação fractal de Kronecker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2 candidatos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fractal_self_tile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Exato (</w:t>
            </w:r>
            <w:r>
              <w:rPr>
                <w:rFonts w:ascii="Cambria Math" w:hAnsi="Cambria Math"/>
                <w:b/>
                <w:color w:val="0F3C73"/>
                <w:sz w:val="18"/>
              </w:rPr>
              <w:t>Loss = 0</w:t>
            </w:r>
            <w:r>
              <w:rPr>
                <w:rFonts w:ascii="Calibri" w:hAnsi="Calibri"/>
                <w:b/>
                <w:color w:val="24292F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Sintético: Rotação 90°</w:t>
            </w:r>
          </w:p>
        </w:tc>
        <w:tc>
          <w:tcPr>
            <w:tcW w:type="dxa" w:w="244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Rotação horária pura</w:t>
            </w:r>
          </w:p>
        </w:tc>
        <w:tc>
          <w:tcPr>
            <w:tcW w:type="dxa" w:w="158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2 candidatos</w:t>
            </w:r>
          </w:p>
        </w:tc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rot90</w:t>
            </w:r>
          </w:p>
        </w:tc>
        <w:tc>
          <w:tcPr>
            <w:tcW w:type="dxa" w:w="158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Exato (</w:t>
            </w:r>
            <w:r>
              <w:rPr>
                <w:rFonts w:ascii="Cambria Math" w:hAnsi="Cambria Math"/>
                <w:b/>
                <w:color w:val="0F3C73"/>
                <w:sz w:val="18"/>
              </w:rPr>
              <w:t>Loss = 0</w:t>
            </w:r>
            <w:r>
              <w:rPr>
                <w:rFonts w:ascii="Calibri" w:hAnsi="Calibri"/>
                <w:b/>
                <w:color w:val="24292F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Sintético: Espelhamento Horizontal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Reflexão em eixo vertical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18 candidatos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flip_h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Exato (</w:t>
            </w:r>
            <w:r>
              <w:rPr>
                <w:rFonts w:ascii="Cambria Math" w:hAnsi="Cambria Math"/>
                <w:b/>
                <w:color w:val="0F3C73"/>
                <w:sz w:val="18"/>
              </w:rPr>
              <w:t>Loss = 0</w:t>
            </w:r>
            <w:r>
              <w:rPr>
                <w:rFonts w:ascii="Calibri" w:hAnsi="Calibri"/>
                <w:b/>
                <w:color w:val="24292F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Sintético: Preenchimento de Furo</w:t>
            </w:r>
          </w:p>
        </w:tc>
        <w:tc>
          <w:tcPr>
            <w:tcW w:type="dxa" w:w="244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Cavidade oclusa preenchida com cor 3</w:t>
            </w:r>
          </w:p>
        </w:tc>
        <w:tc>
          <w:tcPr>
            <w:tcW w:type="dxa" w:w="158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6 candidatos</w:t>
            </w:r>
          </w:p>
        </w:tc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fill_holes(3)</w:t>
            </w:r>
          </w:p>
        </w:tc>
        <w:tc>
          <w:tcPr>
            <w:tcW w:type="dxa" w:w="158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Exato (</w:t>
            </w:r>
            <w:r>
              <w:rPr>
                <w:rFonts w:ascii="Cambria Math" w:hAnsi="Cambria Math"/>
                <w:b/>
                <w:color w:val="0F3C73"/>
                <w:sz w:val="18"/>
              </w:rPr>
              <w:t>Loss = 0</w:t>
            </w:r>
            <w:r>
              <w:rPr>
                <w:rFonts w:ascii="Calibri" w:hAnsi="Calibri"/>
                <w:b/>
                <w:color w:val="24292F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016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Sintético: Recolorização</w:t>
            </w:r>
          </w:p>
        </w:tc>
        <w:tc>
          <w:tcPr>
            <w:tcW w:type="dxa" w:w="244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Mapeamento global para cor 5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55 candidatos</w:t>
            </w:r>
          </w:p>
        </w:tc>
        <w:tc>
          <w:tcPr>
            <w:tcW w:type="dxa" w:w="1728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recolor_all(5)</w:t>
            </w:r>
          </w:p>
        </w:tc>
        <w:tc>
          <w:tcPr>
            <w:tcW w:type="dxa" w:w="1584"/>
            <w:shd w:fill="FFFFFF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Exato (</w:t>
            </w:r>
            <w:r>
              <w:rPr>
                <w:rFonts w:ascii="Cambria Math" w:hAnsi="Cambria Math"/>
                <w:b/>
                <w:color w:val="0F3C73"/>
                <w:sz w:val="18"/>
              </w:rPr>
              <w:t>Loss = 0</w:t>
            </w:r>
            <w:r>
              <w:rPr>
                <w:rFonts w:ascii="Calibri" w:hAnsi="Calibri"/>
                <w:b/>
                <w:color w:val="24292F"/>
                <w:sz w:val="18"/>
              </w:rPr>
              <w:t>)</w:t>
            </w:r>
          </w:p>
        </w:tc>
      </w:tr>
      <w:tr>
        <w:trPr>
          <w:cantSplit/>
        </w:trPr>
        <w:tc>
          <w:tcPr>
            <w:tcW w:type="dxa" w:w="2016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Sintético: Composição Afim</w:t>
            </w:r>
          </w:p>
        </w:tc>
        <w:tc>
          <w:tcPr>
            <w:tcW w:type="dxa" w:w="244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Rotação 180° seguida de transposição</w:t>
            </w:r>
          </w:p>
        </w:tc>
        <w:tc>
          <w:tcPr>
            <w:tcW w:type="dxa" w:w="158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color w:val="24292F"/>
                <w:sz w:val="18"/>
              </w:rPr>
              <w:t>9 candidatos</w:t>
            </w:r>
          </w:p>
        </w:tc>
        <w:tc>
          <w:tcPr>
            <w:tcW w:type="dxa" w:w="1728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onsolas" w:hAnsi="Consolas"/>
                <w:b/>
                <w:color w:val="0F3C73"/>
                <w:sz w:val="16"/>
              </w:rPr>
              <w:t>rot180 -&gt; transpose</w:t>
            </w:r>
          </w:p>
        </w:tc>
        <w:tc>
          <w:tcPr>
            <w:tcW w:type="dxa" w:w="1584"/>
            <w:shd w:fill="F6F8FA"/>
            <w:tcMar>
              <w:top w:w="90" w:type="dxa"/>
              <w:bottom w:w="90" w:type="dxa"/>
              <w:left w:w="130" w:type="dxa"/>
              <w:right w:w="13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24292F"/>
                <w:sz w:val="18"/>
              </w:rPr>
              <w:t>Exato (Profundidade 2)</w:t>
            </w:r>
          </w:p>
        </w:tc>
      </w:tr>
    </w:tbl>
    <w:p>
      <w:pPr>
        <w:spacing w:before="0"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3"/>
        </w:rPr>
        <w:t>Robustez Offline no Kaggle ARC-AGI-2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O Módulo 5 integra um gerador de submissão resiliente desenhado para cumprir integralmente todas as exigências técnicas da competição: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1. </w:t>
      </w:r>
      <w:r>
        <w:rPr>
          <w:rFonts w:ascii="Calibri" w:hAnsi="Calibri"/>
          <w:b/>
          <w:color w:val="24292F"/>
          <w:sz w:val="20"/>
        </w:rPr>
        <w:t>Descoberta Dinâmica de Arquivos via `glob`:</w:t>
      </w:r>
      <w:r>
        <w:rPr>
          <w:rFonts w:ascii="Calibri" w:hAnsi="Calibri"/>
          <w:color w:val="24292F"/>
          <w:sz w:val="20"/>
        </w:rPr>
        <w:t xml:space="preserve"> Elimina caminhos rígidos locais, localizando automaticamente </w:t>
      </w:r>
      <w:r>
        <w:rPr>
          <w:rFonts w:ascii="Consolas" w:hAnsi="Consolas"/>
          <w:b/>
          <w:color w:val="0F3C73"/>
          <w:sz w:val="18"/>
        </w:rPr>
        <w:t>arc-agi_test_challenges.json</w:t>
      </w:r>
      <w:r>
        <w:rPr>
          <w:rFonts w:ascii="Calibri" w:hAnsi="Calibri"/>
          <w:color w:val="24292F"/>
          <w:sz w:val="20"/>
        </w:rPr>
        <w:t xml:space="preserve"> em qualquer ponto da árvore </w:t>
      </w:r>
      <w:r>
        <w:rPr>
          <w:rFonts w:ascii="Consolas" w:hAnsi="Consolas"/>
          <w:b/>
          <w:color w:val="0F3C73"/>
          <w:sz w:val="18"/>
        </w:rPr>
        <w:t>/kaggle/input/</w:t>
      </w:r>
      <w:r>
        <w:rPr>
          <w:rFonts w:ascii="Calibri" w:hAnsi="Calibri"/>
          <w:color w:val="24292F"/>
          <w:sz w:val="20"/>
        </w:rPr>
        <w:t>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2. </w:t>
      </w:r>
      <w:r>
        <w:rPr>
          <w:rFonts w:ascii="Calibri" w:hAnsi="Calibri"/>
          <w:b/>
          <w:color w:val="24292F"/>
          <w:sz w:val="20"/>
        </w:rPr>
        <w:t>Orçamento de Tempo Controlado:</w:t>
      </w:r>
      <w:r>
        <w:rPr>
          <w:rFonts w:ascii="Calibri" w:hAnsi="Calibri"/>
          <w:color w:val="24292F"/>
          <w:sz w:val="20"/>
        </w:rPr>
        <w:t xml:space="preserve"> Limite de 1.5 segundos por tarefa com poda heurística ativa, processando mais de 100 tarefas em menos de 2 minutos sem risco de *timeout*;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3. </w:t>
      </w:r>
      <w:r>
        <w:rPr>
          <w:rFonts w:ascii="Calibri" w:hAnsi="Calibri"/>
          <w:b/>
          <w:color w:val="24292F"/>
          <w:sz w:val="20"/>
        </w:rPr>
        <w:t>Fallback Garantido e Conformidade Estrita:</w:t>
      </w:r>
      <w:r>
        <w:rPr>
          <w:rFonts w:ascii="Calibri" w:hAnsi="Calibri"/>
          <w:color w:val="24292F"/>
          <w:sz w:val="20"/>
        </w:rPr>
        <w:t xml:space="preserve"> Cada entrada de teste gera rigorosamente </w:t>
      </w:r>
      <w:r>
        <w:rPr>
          <w:rFonts w:ascii="Consolas" w:hAnsi="Consolas"/>
          <w:b/>
          <w:color w:val="0F3C73"/>
          <w:sz w:val="18"/>
        </w:rPr>
        <w:t>attempt_1</w:t>
      </w:r>
      <w:r>
        <w:rPr>
          <w:rFonts w:ascii="Calibri" w:hAnsi="Calibri"/>
          <w:color w:val="24292F"/>
          <w:sz w:val="20"/>
        </w:rPr>
        <w:t xml:space="preserve"> e </w:t>
      </w:r>
      <w:r>
        <w:rPr>
          <w:rFonts w:ascii="Consolas" w:hAnsi="Consolas"/>
          <w:b/>
          <w:color w:val="0F3C73"/>
          <w:sz w:val="18"/>
        </w:rPr>
        <w:t>attempt_2</w:t>
      </w:r>
      <w:r>
        <w:rPr>
          <w:rFonts w:ascii="Calibri" w:hAnsi="Calibri"/>
          <w:color w:val="24292F"/>
          <w:sz w:val="20"/>
        </w:rPr>
        <w:t xml:space="preserve"> no formato JSON exigido, prevenindo desclassificações por tarefas faltantes.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7"/>
        </w:rPr>
        <w:t>4. Comprovativo de Elegibilidade Oficial (Submission ID)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Em estrito cumprimento das diretrizes de elegibilidade da Trilha de Artigos (*Paper Track Rule 2.1.b*), o código foi submetido e avaliado no ambiente oficial do Kaggle: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Competição Vinculada:</w:t>
      </w:r>
      <w:r>
        <w:rPr>
          <w:rFonts w:ascii="Calibri" w:hAnsi="Calibri"/>
          <w:color w:val="24292F"/>
          <w:sz w:val="20"/>
        </w:rPr>
        <w:t xml:space="preserve"> ARC Prize 2026 — ARC-AGI-2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Nome da Submissão:</w:t>
      </w:r>
      <w:r>
        <w:rPr>
          <w:rFonts w:ascii="Calibri" w:hAnsi="Calibri"/>
          <w:color w:val="24292F"/>
          <w:sz w:val="20"/>
        </w:rPr>
        <w:t xml:space="preserve"> </w:t>
      </w:r>
      <w:r>
        <w:rPr>
          <w:rFonts w:ascii="Consolas" w:hAnsi="Consolas"/>
          <w:b/>
          <w:color w:val="0F3C73"/>
          <w:sz w:val="18"/>
        </w:rPr>
        <w:t>T-NSE v6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Submission ID Oficial e Definitivo:</w:t>
      </w:r>
      <w:r>
        <w:rPr>
          <w:rFonts w:ascii="Calibri" w:hAnsi="Calibri"/>
          <w:color w:val="24292F"/>
          <w:sz w:val="20"/>
        </w:rPr>
        <w:t xml:space="preserve"> </w:t>
      </w:r>
      <w:r>
        <w:rPr>
          <w:rFonts w:ascii="Calibri" w:hAnsi="Calibri"/>
          <w:b/>
          <w:color w:val="24292F"/>
          <w:sz w:val="20"/>
        </w:rPr>
        <w:t>`57107077`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Status da Avaliação:</w:t>
      </w:r>
      <w:r>
        <w:rPr>
          <w:rFonts w:ascii="Calibri" w:hAnsi="Calibri"/>
          <w:color w:val="24292F"/>
          <w:sz w:val="20"/>
        </w:rPr>
        <w:t xml:space="preserve"> Concluída com sucesso no leaderboard oficial (*Scored / Complete*).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7"/>
        </w:rPr>
        <w:t>5. Universalidade Além do ARC (Universality)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O T-NSE não é apenas um solucionador ad-hoc de quebra-cabeças bidimensionais; ele constitui um arcabouço genérico para </w:t>
      </w:r>
      <w:r>
        <w:rPr>
          <w:rFonts w:ascii="Calibri" w:hAnsi="Calibri"/>
          <w:b/>
          <w:color w:val="24292F"/>
          <w:sz w:val="20"/>
        </w:rPr>
        <w:t>Modelagem Relacional de Mundo Centrada em Objetos</w:t>
      </w:r>
      <w:r>
        <w:rPr>
          <w:rFonts w:ascii="Calibri" w:hAnsi="Calibri"/>
          <w:color w:val="24292F"/>
          <w:sz w:val="20"/>
        </w:rPr>
        <w:t xml:space="preserve"> (*Object-Centric World Modeling*):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1. </w:t>
      </w:r>
      <w:r>
        <w:rPr>
          <w:rFonts w:ascii="Calibri" w:hAnsi="Calibri"/>
          <w:b/>
          <w:color w:val="24292F"/>
          <w:sz w:val="20"/>
        </w:rPr>
        <w:t>Robótica Autônoma e Manipulação Espacial:</w:t>
      </w:r>
      <w:r>
        <w:rPr>
          <w:rFonts w:ascii="Calibri" w:hAnsi="Calibri"/>
          <w:color w:val="24292F"/>
          <w:sz w:val="20"/>
        </w:rPr>
        <w:t xml:space="preserve"> Extração de primitivas de movimentação de braços robóticos a partir de demonstrações visuais, convertendo dados perceptuais em grafos de contato e trajetórias vetoriais sem retreinamento neural;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2. </w:t>
      </w:r>
      <w:r>
        <w:rPr>
          <w:rFonts w:ascii="Calibri" w:hAnsi="Calibri"/>
          <w:b/>
          <w:color w:val="24292F"/>
          <w:sz w:val="20"/>
        </w:rPr>
        <w:t>Automação Industrial e Design Assistido (CAD):</w:t>
      </w:r>
      <w:r>
        <w:rPr>
          <w:rFonts w:ascii="Calibri" w:hAnsi="Calibri"/>
          <w:color w:val="24292F"/>
          <w:sz w:val="20"/>
        </w:rPr>
        <w:t xml:space="preserve"> Verificação geométrica de peças, roteamento de componentes em placas de circuito e garantia de restrições de folga e contenção;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3. </w:t>
      </w:r>
      <w:r>
        <w:rPr>
          <w:rFonts w:ascii="Calibri" w:hAnsi="Calibri"/>
          <w:b/>
          <w:color w:val="24292F"/>
          <w:sz w:val="20"/>
        </w:rPr>
        <w:t>Raciocínio de Senso Comum Físico:</w:t>
      </w:r>
      <w:r>
        <w:rPr>
          <w:rFonts w:ascii="Calibri" w:hAnsi="Calibri"/>
          <w:color w:val="24292F"/>
          <w:sz w:val="20"/>
        </w:rPr>
        <w:t xml:space="preserve"> Predição de suporte mecânico, estabilidade de pilhas de blocos e oclusão de cavidades a partir de invariantes topológicos estáticos.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7"/>
        </w:rPr>
        <w:t>6. Escopo Honesto e Limitações (Limitations)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Como contribuição científica rigorosa, explicitamos as fronteiras do estado atual do protótipo: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Dimensão da DSL:</w:t>
      </w:r>
      <w:r>
        <w:rPr>
          <w:rFonts w:ascii="Calibri" w:hAnsi="Calibri"/>
          <w:color w:val="24292F"/>
          <w:sz w:val="20"/>
        </w:rPr>
        <w:t xml:space="preserve"> O catálogo de 75 primitivas cobre transformações geométricas globais e preenchimento de cavidades, mas tarefas que demandam simulação de física de fluidos deformáveis ou raciocínio aritmético avançado exigem operadores especializados;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Profundidade de Composição:</w:t>
      </w:r>
      <w:r>
        <w:rPr>
          <w:rFonts w:ascii="Calibri" w:hAnsi="Calibri"/>
          <w:color w:val="24292F"/>
          <w:sz w:val="20"/>
        </w:rPr>
        <w:t xml:space="preserve"> A busca determinística opera prioritariamente em profundidades </w:t>
      </w:r>
      <w:r>
        <w:rPr>
          <w:rFonts w:ascii="Cambria Math" w:hAnsi="Cambria Math"/>
          <w:b w:val="0"/>
          <w:color w:val="0F3C73"/>
          <w:sz w:val="20"/>
        </w:rPr>
        <w:t>L ≤ 2</w:t>
      </w:r>
      <w:r>
        <w:rPr>
          <w:rFonts w:ascii="Calibri" w:hAnsi="Calibri"/>
          <w:color w:val="24292F"/>
          <w:sz w:val="20"/>
        </w:rPr>
        <w:t xml:space="preserve"> para respeitar a cota de tempo da competição;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•  </w:t>
      </w:r>
      <w:r>
        <w:rPr>
          <w:rFonts w:ascii="Calibri" w:hAnsi="Calibri"/>
          <w:b/>
          <w:color w:val="24292F"/>
          <w:sz w:val="20"/>
        </w:rPr>
        <w:t>Roadmap de Expansão:</w:t>
      </w:r>
      <w:r>
        <w:rPr>
          <w:rFonts w:ascii="Calibri" w:hAnsi="Calibri"/>
          <w:color w:val="24292F"/>
          <w:sz w:val="20"/>
        </w:rPr>
        <w:t xml:space="preserve"> As próximas etapas incluem a incorporação de Redes Neurais em Grafos (GNNs) para guiar probabilisticamente a ordem de expansão dos ramos do TSG e a introdução de primitivas orientadas a objetos individuais (</w:t>
      </w:r>
      <w:r>
        <w:rPr>
          <w:rFonts w:ascii="Consolas" w:hAnsi="Consolas"/>
          <w:b/>
          <w:color w:val="0F3C73"/>
          <w:sz w:val="18"/>
        </w:rPr>
        <w:t>crop_bbox</w:t>
      </w:r>
      <w:r>
        <w:rPr>
          <w:rFonts w:ascii="Calibri" w:hAnsi="Calibri"/>
          <w:color w:val="24292F"/>
          <w:sz w:val="20"/>
        </w:rPr>
        <w:t xml:space="preserve">, </w:t>
      </w:r>
      <w:r>
        <w:rPr>
          <w:rFonts w:ascii="Consolas" w:hAnsi="Consolas"/>
          <w:b/>
          <w:color w:val="0F3C73"/>
          <w:sz w:val="18"/>
        </w:rPr>
        <w:t>isolate_object</w:t>
      </w:r>
      <w:r>
        <w:rPr>
          <w:rFonts w:ascii="Calibri" w:hAnsi="Calibri"/>
          <w:color w:val="24292F"/>
          <w:sz w:val="20"/>
        </w:rPr>
        <w:t xml:space="preserve"> e operadores de gravidade direcional).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80" w:after="80"/>
      </w:pPr>
      <w:r>
        <w:rPr>
          <w:rFonts w:ascii="Calibri" w:hAnsi="Calibri"/>
          <w:b/>
          <w:color w:val="0F3C73"/>
          <w:sz w:val="27"/>
        </w:rPr>
        <w:t>7. Conclusão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 xml:space="preserve">O desenvolvimento de sistemas dotados de verdadeira inteligência fluida exige abandonar a suposição de que tudo pode ser resolvido por interpolação estatística de tokens. O </w:t>
      </w:r>
      <w:r>
        <w:rPr>
          <w:rFonts w:ascii="Calibri" w:hAnsi="Calibri"/>
          <w:b/>
          <w:color w:val="24292F"/>
          <w:sz w:val="20"/>
        </w:rPr>
        <w:t>Topological Neuro-Symbolic Engine (T-NSE)</w:t>
      </w:r>
      <w:r>
        <w:rPr>
          <w:rFonts w:ascii="Calibri" w:hAnsi="Calibri"/>
          <w:color w:val="24292F"/>
          <w:sz w:val="20"/>
        </w:rPr>
        <w:t xml:space="preserve"> demonstra que acoplar algoritmos de visão estruturada (que extraem entidades e topologias físicas) a um motor de busca simbólica determinístico com verificação estrita produz uma solução transparente, matematicamente sólida e sample-efficient para o ARC-AGI.</w:t>
      </w:r>
    </w:p>
    <w:p>
      <w:pPr>
        <w:spacing w:before="40" w:after="80" w:line="276" w:lineRule="auto"/>
      </w:pPr>
      <w:r>
        <w:rPr>
          <w:rFonts w:ascii="Calibri" w:hAnsi="Calibri"/>
          <w:color w:val="24292F"/>
          <w:sz w:val="20"/>
        </w:rPr>
        <w:t>Ao ensinar o sistema a "enxergar" os objetos e suas relações topológicas antes de deduzir as regras de transformação, construímos uma ponte concreta entre o conexionismo perceptivo e a precisão do raciocínio simbólico.</w:t>
      </w:r>
    </w:p>
    <w:p>
      <w:pPr>
        <w:spacing w:before="120" w:after="120"/>
        <w:jc w:val="center"/>
      </w:pPr>
      <w:r>
        <w:rPr>
          <w:color w:val="D0D7DE"/>
          <w:sz w:val="12"/>
        </w:rPr>
        <w:t>_________________________________________________________________________________</w:t>
      </w:r>
    </w:p>
    <w:p>
      <w:pPr>
        <w:keepNext/>
        <w:spacing w:before="200" w:after="60"/>
      </w:pPr>
      <w:r>
        <w:rPr>
          <w:rFonts w:ascii="Calibri" w:hAnsi="Calibri"/>
          <w:b/>
          <w:color w:val="1E5AA0"/>
          <w:sz w:val="23"/>
        </w:rPr>
        <w:t>Referências Bibliográficas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1. </w:t>
      </w:r>
      <w:r>
        <w:rPr>
          <w:rFonts w:ascii="Calibri" w:hAnsi="Calibri"/>
          <w:b/>
          <w:color w:val="24292F"/>
          <w:sz w:val="20"/>
        </w:rPr>
        <w:t>Chollet, F.</w:t>
      </w:r>
      <w:r>
        <w:rPr>
          <w:rFonts w:ascii="Calibri" w:hAnsi="Calibri"/>
          <w:color w:val="24292F"/>
          <w:sz w:val="20"/>
        </w:rPr>
        <w:t xml:space="preserve"> (2019). *On the Measure of Intelligence*. arXiv preprint arXiv:1911.01547.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2. </w:t>
      </w:r>
      <w:r>
        <w:rPr>
          <w:rFonts w:ascii="Calibri" w:hAnsi="Calibri"/>
          <w:b/>
          <w:color w:val="24292F"/>
          <w:sz w:val="20"/>
        </w:rPr>
        <w:t>Spelke, E. S., &amp; Kinzler, K. D.</w:t>
      </w:r>
      <w:r>
        <w:rPr>
          <w:rFonts w:ascii="Calibri" w:hAnsi="Calibri"/>
          <w:color w:val="24292F"/>
          <w:sz w:val="20"/>
        </w:rPr>
        <w:t xml:space="preserve"> (2007). *Core knowledge*. Developmental Science, 10(1), 89-96.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3. </w:t>
      </w:r>
      <w:r>
        <w:rPr>
          <w:rFonts w:ascii="Calibri" w:hAnsi="Calibri"/>
          <w:b/>
          <w:color w:val="24292F"/>
          <w:sz w:val="20"/>
        </w:rPr>
        <w:t>ARC Prize Foundation.</w:t>
      </w:r>
      <w:r>
        <w:rPr>
          <w:rFonts w:ascii="Calibri" w:hAnsi="Calibri"/>
          <w:color w:val="24292F"/>
          <w:sz w:val="20"/>
        </w:rPr>
        <w:t xml:space="preserve"> (2024–2026). *ARC-AGI-2 &amp; ARC-AGI-3 Competitions and Technical Documentation*. arcprize.org.</w:t>
      </w:r>
    </w:p>
    <w:p>
      <w:pPr>
        <w:spacing w:before="20" w:after="40" w:line="276" w:lineRule="auto"/>
        <w:ind w:left="360"/>
      </w:pPr>
      <w:r>
        <w:rPr>
          <w:b/>
          <w:color w:val="0F3C73"/>
        </w:rPr>
        <w:t xml:space="preserve">4. </w:t>
      </w:r>
      <w:r>
        <w:rPr>
          <w:rFonts w:ascii="Calibri" w:hAnsi="Calibri"/>
          <w:b/>
          <w:color w:val="24292F"/>
          <w:sz w:val="20"/>
        </w:rPr>
        <w:t>Santos, E. N. J.</w:t>
      </w:r>
      <w:r>
        <w:rPr>
          <w:rFonts w:ascii="Calibri" w:hAnsi="Calibri"/>
          <w:color w:val="24292F"/>
          <w:sz w:val="20"/>
        </w:rPr>
        <w:t xml:space="preserve"> (2026). *Topological Neuro-Symbolic Engine (T-NSE): Object-Centric Spatial Induction for ARC-AGI*. Repositório oficial do GitHub e Kaggle Paper Track.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24292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