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ind w:left="0" w:firstLine="0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Requisitos de Software do Subsistema(SRS)</w:t>
      </w:r>
    </w:p>
    <w:p w:rsidR="00000000" w:rsidDel="00000000" w:rsidP="00000000" w:rsidRDefault="00000000" w:rsidRPr="00000000" w14:paraId="00000002">
      <w:pPr>
        <w:spacing w:line="240" w:lineRule="auto"/>
        <w:ind w:right="-891.2598425196836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left"/>
        <w:tblInd w:w="14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615"/>
        <w:gridCol w:w="1845"/>
        <w:gridCol w:w="5505"/>
        <w:gridCol w:w="1455"/>
        <w:tblGridChange w:id="0">
          <w:tblGrid>
            <w:gridCol w:w="615"/>
            <w:gridCol w:w="1845"/>
            <w:gridCol w:w="5505"/>
            <w:gridCol w:w="1455"/>
          </w:tblGrid>
        </w:tblGridChange>
      </w:tblGrid>
      <w:tr>
        <w:trPr>
          <w:trHeight w:val="66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ind w:right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Relação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o cliente recebeu retorno do atendente no chamado após a abertura.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RN-0009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o status do chamado de devolução  foi encaminhado para o cliente.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RN-0012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há dinheiro em caixa para confirmação do pagamento de produtos ao fornecedor.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RN-0016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há dinheiro em caixa para confirmação da solicitação de manutenção ao terceiro.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RN-0021</w:t>
            </w:r>
          </w:p>
        </w:tc>
      </w:tr>
    </w:tbl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OdGizTmxbCV95cgHyQm/UDwqCEg==">AMUW2mXYYkaCgGvTVuZ6UBLLcEGZDhSEGnQuyowbYV25g41T3sa8M6wjForfk2dKPkIy9zyuFrUJYvdMhKb3m1OG7dETzf3kuLETuj120mn9NcU/UswYUhs=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