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spacing w:after="0" w:line="216" w:lineRule="auto"/>
        <w:ind w:left="0" w:firstLine="0"/>
        <w:jc w:val="both"/>
        <w:rPr>
          <w:rFonts w:ascii="Arial" w:cs="Arial" w:eastAsia="Arial" w:hAnsi="Arial"/>
          <w:sz w:val="52"/>
          <w:szCs w:val="52"/>
          <w:highlight w:val="white"/>
        </w:rPr>
      </w:pPr>
      <w:r w:rsidDel="00000000" w:rsidR="00000000" w:rsidRPr="00000000">
        <w:rPr>
          <w:rFonts w:ascii="Arial" w:cs="Arial" w:eastAsia="Arial" w:hAnsi="Arial"/>
          <w:sz w:val="52"/>
          <w:szCs w:val="52"/>
          <w:highlight w:val="white"/>
          <w:rtl w:val="0"/>
        </w:rPr>
        <w:t xml:space="preserve">Regras de Negócio</w:t>
      </w:r>
    </w:p>
    <w:p w:rsidR="00000000" w:rsidDel="00000000" w:rsidP="00000000" w:rsidRDefault="00000000" w:rsidRPr="00000000" w14:paraId="00000002">
      <w:pPr>
        <w:spacing w:after="0" w:line="276" w:lineRule="auto"/>
        <w:ind w:right="-891.2598425196836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75.0" w:type="dxa"/>
        <w:jc w:val="left"/>
        <w:tblInd w:w="130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1455"/>
        <w:gridCol w:w="1365"/>
        <w:gridCol w:w="6555"/>
        <w:tblGridChange w:id="0">
          <w:tblGrid>
            <w:gridCol w:w="1455"/>
            <w:gridCol w:w="1365"/>
            <w:gridCol w:w="6555"/>
          </w:tblGrid>
        </w:tblGridChange>
      </w:tblGrid>
      <w:tr>
        <w:trPr>
          <w:trHeight w:val="660" w:hRule="atLeast"/>
        </w:trP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spacing w:after="0" w:line="240" w:lineRule="auto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Referência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after="0" w:line="240" w:lineRule="auto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Regra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after="0" w:line="240" w:lineRule="auto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trHeight w:val="109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cliente tem o prazo de 24 horas para informar o cartão, senha ao vendedor.</w:t>
            </w:r>
          </w:p>
        </w:tc>
      </w:tr>
      <w:tr>
        <w:trPr>
          <w:trHeight w:val="84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x(2)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provedor de cartões tem o prazo de 15 minutos</w:t>
            </w:r>
            <w:r w:rsidDel="00000000" w:rsidR="00000000" w:rsidRPr="00000000">
              <w:rPr>
                <w:rFonts w:ascii="Arial" w:cs="Arial" w:eastAsia="Arial" w:hAnsi="Arial"/>
                <w:color w:val="202124"/>
                <w:sz w:val="24"/>
                <w:szCs w:val="24"/>
                <w:highlight w:val="white"/>
                <w:rtl w:val="0"/>
              </w:rPr>
              <w:t xml:space="preserve">, após o pagamento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202124"/>
                <w:sz w:val="24"/>
                <w:szCs w:val="24"/>
                <w:highlight w:val="white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color w:val="202124"/>
                <w:sz w:val="24"/>
                <w:szCs w:val="24"/>
                <w:highlight w:val="white"/>
                <w:rtl w:val="0"/>
              </w:rPr>
              <w:t xml:space="preserve">para confirmar a transação ao vendedor.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x(3)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vendedor tem prazo de 02 dias úteis, para envio do produto à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empresa de correspondências.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x(4)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empresa de correspondências tem o prazo de 10 minutos para informar o código de rastreio ao vendedor.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x(5)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empresa de correspondências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 deve informar a resposta sobre a entrega do pedido em até 07 dias úteis ao vendedor.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x(7)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cliente tem o prazo de 48 horas, para confirmar a resposta sobre o seu chamado em aberto ao atendente.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x(8)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atendente tem o prazo de 48 horas, para informar ao cliente o prazo de solução ou a recusa do chamado.</w:t>
            </w:r>
          </w:p>
        </w:tc>
      </w:tr>
      <w:tr>
        <w:trPr>
          <w:trHeight w:val="902.92968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x(9)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cliente pode solicitar o status do seu chamado ao atendente depois de 24 horas, após o atendente informar o prazo de solução.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x(10)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atendente tem o prazo de 10 a 15 dias úteis para realizar a entrega do produto consertado ao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x(12)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RN-0012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atendente tem o prazo de 48 horas, para informar ao cliente o status de chamado e seu recibo de devolução.</w:t>
            </w:r>
          </w:p>
        </w:tc>
      </w:tr>
      <w:tr>
        <w:trPr>
          <w:trHeight w:val="902.92968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x(13)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RN-0013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cliente tem o prazo de 7 dias para enviar o recibo de devolução ao atendente, para devolução do valor total do produto.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x(15)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RN-00015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fornecedor tem o prazo de 1 hora para enviar o orçamento ao gerente.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x(16)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RN-0016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gerente tem até 72 horas para realizar o pagamento dos produtos ao fornecedor.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x(17)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RN-0017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fornecedor tem até 07 dias úteis, para enviar ao gerente, após a confirmação do pagamento, a nota fiscal e os produtos.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x(19)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RN-0019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terceiro tem o prazo de 1 hora para enviar o orçamento e o prazo da manutenção ao gerente.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x(20)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RN-0020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terceiro depois da confirmação do pagamento tem o prazo de 10 a 15 dias úteis no máximo para a entrega dos produtos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manutenidos.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x(21)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RN-0021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gerente tem até 72 horas para realizar o pagamento das manutenções solicitadas ao terceiro.</w:t>
            </w:r>
          </w:p>
        </w:tc>
      </w:tr>
      <w:tr>
        <w:trPr>
          <w:trHeight w:val="887.92968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x(22)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RN-0022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terceiro, após a confirmação do pagamento, tem até 7 dias úteis para enviar a nota fiscal e o comprovante de pagamento da manutenção ao gerente.</w:t>
            </w:r>
          </w:p>
        </w:tc>
      </w:tr>
    </w:tbl>
    <w:p w:rsidR="00000000" w:rsidDel="00000000" w:rsidP="00000000" w:rsidRDefault="00000000" w:rsidRPr="00000000" w14:paraId="0000003C">
      <w:pPr>
        <w:tabs>
          <w:tab w:val="left" w:pos="7080"/>
        </w:tabs>
        <w:spacing w:line="276" w:lineRule="auto"/>
        <w:ind w:left="-850.3937007874016" w:firstLine="0"/>
        <w:jc w:val="both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1417" w:top="1417" w:left="1417.3228346456694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5L7rzlZj3gQj0cwlG7QUdlnorbw==">AMUW2mUrugClN1M3OcOVN9kXb6ja1uRSop64TCMd8CFAUXkD1LrypwVcxT0BSGC/kbSTVevVsrpFY2qB70C3oOe777/wBN0IQEDl9r4N7zKDfJ3W06FKDPg=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