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40" w:lineRule="auto"/>
        <w:jc w:val="both"/>
        <w:rPr>
          <w:rFonts w:ascii="Arial" w:cs="Arial" w:eastAsia="Arial" w:hAnsi="Arial"/>
          <w:sz w:val="52"/>
          <w:szCs w:val="52"/>
        </w:rPr>
      </w:pPr>
      <w:r w:rsidDel="00000000" w:rsidR="00000000" w:rsidRPr="00000000">
        <w:rPr>
          <w:rFonts w:ascii="Arial" w:cs="Arial" w:eastAsia="Arial" w:hAnsi="Arial"/>
          <w:sz w:val="52"/>
          <w:szCs w:val="52"/>
          <w:rtl w:val="0"/>
        </w:rPr>
        <w:t xml:space="preserve">Diagrama de Casos de Uso</w:t>
      </w:r>
    </w:p>
    <w:p w:rsidR="00000000" w:rsidDel="00000000" w:rsidP="00000000" w:rsidRDefault="00000000" w:rsidRPr="00000000" w14:paraId="00000002">
      <w:pPr>
        <w:spacing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Projeto: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Gestão Negócio Web - Gamaware</w:t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Grupo: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SolutionUp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sz w:val="28"/>
          <w:szCs w:val="28"/>
        </w:rPr>
      </w:pPr>
      <w:bookmarkStart w:colFirst="0" w:colLast="0" w:name="_heading=h.6g3hlia15zyq" w:id="0"/>
      <w:bookmarkEnd w:id="0"/>
      <w:r w:rsidDel="00000000" w:rsidR="00000000" w:rsidRPr="00000000">
        <w:rPr>
          <w:rFonts w:ascii="Arial" w:cs="Arial" w:eastAsia="Arial" w:hAnsi="Arial"/>
          <w:b w:val="1"/>
          <w:sz w:val="28"/>
          <w:szCs w:val="28"/>
        </w:rPr>
        <w:drawing>
          <wp:inline distB="114300" distT="114300" distL="114300" distR="114300">
            <wp:extent cx="6270389" cy="757248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70389" cy="75724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Arial" w:cs="Arial" w:eastAsia="Arial" w:hAnsi="Arial"/>
          <w:b w:val="1"/>
          <w:color w:val="ff0000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Mapeamento de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Funcionário</w:t>
      </w:r>
    </w:p>
    <w:p w:rsidR="00000000" w:rsidDel="00000000" w:rsidP="00000000" w:rsidRDefault="00000000" w:rsidRPr="00000000" w14:paraId="00000009">
      <w:pPr>
        <w:spacing w:line="240" w:lineRule="auto"/>
        <w:ind w:right="248"/>
        <w:jc w:val="both"/>
        <w:rPr>
          <w:rFonts w:ascii="Arial" w:cs="Arial" w:eastAsia="Arial" w:hAnsi="Arial"/>
          <w:color w:val="ff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O funcionário terá determinadas permissões para (criar, armazenar, alterar, excluir e ler dados), para gerenciamento geral no catálogo e clientes, após a realização do login.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Funcionários da GamaWare.</w:t>
      </w:r>
    </w:p>
    <w:p w:rsidR="00000000" w:rsidDel="00000000" w:rsidP="00000000" w:rsidRDefault="00000000" w:rsidRPr="00000000" w14:paraId="0000000B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rtl w:val="0"/>
        </w:rPr>
        <w:t xml:space="preserve">Cliente</w:t>
      </w:r>
    </w:p>
    <w:p w:rsidR="00000000" w:rsidDel="00000000" w:rsidP="00000000" w:rsidRDefault="00000000" w:rsidRPr="00000000" w14:paraId="0000000D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cliente poderá visualizar produtos disponíveis no catálogo para aquisição, informar produtos para revenda e solicitar suporte após a realização da compra.</w:t>
      </w:r>
    </w:p>
    <w:p w:rsidR="00000000" w:rsidDel="00000000" w:rsidP="00000000" w:rsidRDefault="00000000" w:rsidRPr="00000000" w14:paraId="0000000E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 da GamaWare.</w:t>
      </w:r>
    </w:p>
    <w:p w:rsidR="00000000" w:rsidDel="00000000" w:rsidP="00000000" w:rsidRDefault="00000000" w:rsidRPr="00000000" w14:paraId="0000000F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Gerente</w:t>
      </w:r>
    </w:p>
    <w:p w:rsidR="00000000" w:rsidDel="00000000" w:rsidP="00000000" w:rsidRDefault="00000000" w:rsidRPr="00000000" w14:paraId="00000011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gerente </w:t>
      </w: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é responsável por manter a organização dos processos onde sempre estará alinhando os fornecedores do negócio, gerenciamento do catálogo e ordem de serviços, além de está sempre tomando decisões importantes para o desenvolvimento do negócio.</w:t>
      </w:r>
    </w:p>
    <w:p w:rsidR="00000000" w:rsidDel="00000000" w:rsidP="00000000" w:rsidRDefault="00000000" w:rsidRPr="00000000" w14:paraId="00000012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color w:val="202124"/>
          <w:sz w:val="24"/>
          <w:szCs w:val="24"/>
          <w:highlight w:val="white"/>
          <w:rtl w:val="0"/>
        </w:rPr>
        <w:t xml:space="preserve">Gerentes da GamaWare.</w:t>
      </w:r>
    </w:p>
    <w:p w:rsidR="00000000" w:rsidDel="00000000" w:rsidP="00000000" w:rsidRDefault="00000000" w:rsidRPr="00000000" w14:paraId="00000013">
      <w:pPr>
        <w:spacing w:line="240" w:lineRule="auto"/>
        <w:ind w:right="248"/>
        <w:jc w:val="both"/>
        <w:rPr>
          <w:rFonts w:ascii="Arial" w:cs="Arial" w:eastAsia="Arial" w:hAnsi="Arial"/>
          <w:color w:val="202124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right="248"/>
        <w:jc w:val="both"/>
        <w:rPr>
          <w:rFonts w:ascii="Arial" w:cs="Arial" w:eastAsia="Arial" w:hAnsi="Arial"/>
          <w:b w:val="1"/>
          <w:sz w:val="28"/>
          <w:szCs w:val="2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28"/>
          <w:szCs w:val="28"/>
          <w:highlight w:val="white"/>
          <w:rtl w:val="0"/>
        </w:rPr>
        <w:t xml:space="preserve">Público</w:t>
      </w:r>
    </w:p>
    <w:p w:rsidR="00000000" w:rsidDel="00000000" w:rsidP="00000000" w:rsidRDefault="00000000" w:rsidRPr="00000000" w14:paraId="00000015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O público poderá vender produtos recondicionados para GamaWare, disponibilizando as informações do mesmo através do formulário disponibilizado no website.</w:t>
      </w:r>
    </w:p>
    <w:p w:rsidR="00000000" w:rsidDel="00000000" w:rsidP="00000000" w:rsidRDefault="00000000" w:rsidRPr="00000000" w14:paraId="00000016">
      <w:pPr>
        <w:spacing w:line="240" w:lineRule="auto"/>
        <w:ind w:right="248"/>
        <w:jc w:val="both"/>
        <w:rPr>
          <w:rFonts w:ascii="Arial" w:cs="Arial" w:eastAsia="Arial" w:hAnsi="Arial"/>
          <w:sz w:val="24"/>
          <w:szCs w:val="24"/>
          <w:highlight w:val="whit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Público externo.</w:t>
      </w:r>
    </w:p>
    <w:p w:rsidR="00000000" w:rsidDel="00000000" w:rsidP="00000000" w:rsidRDefault="00000000" w:rsidRPr="00000000" w14:paraId="00000017">
      <w:pPr>
        <w:jc w:val="both"/>
        <w:rPr>
          <w:rFonts w:ascii="Arial" w:cs="Arial" w:eastAsia="Arial" w:hAnsi="Arial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Arial" w:cs="Arial" w:eastAsia="Arial" w:hAnsi="Arial"/>
          <w:sz w:val="24"/>
          <w:szCs w:val="24"/>
        </w:rPr>
      </w:pPr>
      <w:bookmarkStart w:colFirst="0" w:colLast="0" w:name="_heading=h.ttitua7omtft" w:id="1"/>
      <w:bookmarkEnd w:id="1"/>
      <w:r w:rsidDel="00000000" w:rsidR="00000000" w:rsidRPr="00000000">
        <w:rPr>
          <w:rtl w:val="0"/>
        </w:rPr>
      </w:r>
    </w:p>
    <w:sectPr>
      <w:pgSz w:h="16833" w:w="11908" w:orient="portrait"/>
      <w:pgMar w:bottom="864" w:top="1417.3228346456694" w:left="1417.322834645669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PargrafodaLista">
    <w:name w:val="List Paragraph"/>
    <w:basedOn w:val="Normal"/>
    <w:uiPriority w:val="34"/>
    <w:qFormat w:val="1"/>
    <w:rsid w:val="005D481C"/>
    <w:pPr>
      <w:ind w:left="720"/>
      <w:contextualSpacing w:val="1"/>
    </w:pPr>
  </w:style>
  <w:style w:type="table" w:styleId="TabeladeGrade41" w:customStyle="1">
    <w:name w:val="Tabela de Grade 41"/>
    <w:basedOn w:val="Tabelanormal"/>
    <w:uiPriority w:val="49"/>
    <w:rsid w:val="002E4DEC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GheL9lrqMN/+F445F4wB6l3cXDw==">AMUW2mV+Cgc7ShjRR6qhSv0V8FP9d2IJcCwGMJcWqKKiKQI1at0q/Tx1rfpDa59Z6bILMj/+bMz1zO8ELT5M8Iu/0Hj79Bdedh7hXyh6LzsNDJ9xjtqtqgNCEeiFcUPoSk8RDYk35vTs0/JeHDAKd6/7R9q3QqRdwQ==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2018-03-02T13:59:00Z</dcterms:created>
  <dc:creator>Renan Lopes Gonçalves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2021-03-04T19:51:40Z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24c0b826-b6ef-4fe9-9bf2-2f23a613b068</vt:lpwstr>
  </property>
  <property fmtid="{D5CDD505-2E9C-101B-9397-08002B2CF9AE}" pid="8" name="MSIP_Label_2fd53d93-3f4c-4b90-b511-bd6bdbb4fba9_ContentBits">
    <vt:lpwstr>0</vt:lpwstr>
  </property>
</Properties>
</file>