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firstLine="0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de Software do Subsistema(SRS)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615"/>
        <w:gridCol w:w="1845"/>
        <w:gridCol w:w="5505"/>
        <w:gridCol w:w="1455"/>
        <w:tblGridChange w:id="0">
          <w:tblGrid>
            <w:gridCol w:w="615"/>
            <w:gridCol w:w="1845"/>
            <w:gridCol w:w="5505"/>
            <w:gridCol w:w="14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Relação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cliente enviou a resposta sobre o seu chamado em aberto ao atendente.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RN-0007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cliente recebeu retorno do atendente no chamado após a abertura.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RN-0008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status do chamado de devolução  foi encaminhado para 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RN-0012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do pagamento de produtos ao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RN-0016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da solicitação de manutenção ao terceiro.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RN-0021</w:t>
            </w:r>
          </w:p>
        </w:tc>
      </w:tr>
    </w:tbl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dGizTmxbCV95cgHyQm/UDwqCEg==">AMUW2mUoK5L4axCeO83WLQ4S4RG6huweZ4D4ZXsHsKplL4B25+NqdzQOp6xAs0O1HOFZqtHTqAp+7rGH95s2Dl/7rVkmOlHf/0QyZMf9NgHBNfLWzi6oUeU=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