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spacing w:line="24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Lista de Restrições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555.0" w:type="dxa"/>
        <w:jc w:val="left"/>
        <w:tblInd w:w="100.0" w:type="pct"/>
        <w:tblBorders>
          <w:top w:color="ff9900" w:space="0" w:sz="8" w:val="single"/>
          <w:left w:color="ff9900" w:space="0" w:sz="8" w:val="single"/>
          <w:bottom w:color="ff9900" w:space="0" w:sz="8" w:val="single"/>
          <w:right w:color="ff9900" w:space="0" w:sz="8" w:val="single"/>
          <w:insideH w:color="ff9900" w:space="0" w:sz="8" w:val="single"/>
          <w:insideV w:color="ff9900" w:space="0" w:sz="8" w:val="single"/>
        </w:tblBorders>
        <w:tblLayout w:type="fixed"/>
        <w:tblLook w:val="0600"/>
      </w:tblPr>
      <w:tblGrid>
        <w:gridCol w:w="1905"/>
        <w:gridCol w:w="7650"/>
        <w:tblGridChange w:id="0">
          <w:tblGrid>
            <w:gridCol w:w="1905"/>
            <w:gridCol w:w="7650"/>
          </w:tblGrid>
        </w:tblGridChange>
      </w:tblGrid>
      <w:tr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Restrição</w:t>
            </w:r>
          </w:p>
        </w:tc>
        <w:tc>
          <w:tcPr>
            <w:shd w:fill="f9cb9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Razão (lógica)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Não há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4"/>
                <w:szCs w:val="24"/>
                <w:highlight w:val="white"/>
                <w:rtl w:val="0"/>
              </w:rPr>
              <w:t xml:space="preserve">Não há qualquer medida de restrição da GamaWare à produção do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240" w:lineRule="auto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6838" w:w="11906" w:orient="portrait"/>
      <w:pgMar w:bottom="850.3937007874016" w:top="1417.3228346456694" w:left="1417.3228346456694" w:right="1440.000000000000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IEyouXuvgVDIwvNPXe32Wr2p3eg==">AMUW2mU+BCl/viKtPqaZpECoXrNefO71ZvfcqTUHVEOWgfbxvUwl31tYaMRLMb/fJwMkcGkmf3PYq5jbhNgz8nkWwnzTjNRPwyc/MRUjBm4OPYrlrTzQLGWFSIDqPR2JcYr5dpVTbSIW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