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2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22"/>
        <w:gridCol w:w="5000"/>
        <w:tblGridChange w:id="0">
          <w:tblGrid>
            <w:gridCol w:w="4322"/>
            <w:gridCol w:w="5000"/>
          </w:tblGrid>
        </w:tblGridChange>
      </w:tblGrid>
      <w:t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UC02 – Manter Cliente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funcionário possa armazenar os dados cadastrais dos clientes.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precisa ter CPF ou RNE.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Mensagem de sucesso confirmando o cadastro.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 cadastra o cliente.</w:t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exibe formulário de cadastro. (FA-01)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(FE-01).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6">
            <w:pPr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armazena as informações.</w:t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tabs>
                <w:tab w:val="left" w:pos="3390"/>
              </w:tabs>
              <w:ind w:left="36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A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campo CPF ou RNE será obrigatório.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E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0">
            <w:pPr>
              <w:ind w:lef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- Campo Obrigatório Vazio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4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5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numPr>
                <w:ilvl w:val="0"/>
                <w:numId w:val="5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não armazena informações.</w:t>
            </w:r>
          </w:p>
        </w:tc>
      </w:tr>
      <w:tr>
        <w:tc>
          <w:tcPr/>
          <w:p w:rsidR="00000000" w:rsidDel="00000000" w:rsidP="00000000" w:rsidRDefault="00000000" w:rsidRPr="00000000" w14:paraId="000000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A">
            <w:pPr>
              <w:tabs>
                <w:tab w:val="left" w:pos="2635"/>
              </w:tabs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de Exceção (FE-01) – Campo Obrigatório Vazio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D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numPr>
                <w:ilvl w:val="0"/>
                <w:numId w:val="4"/>
              </w:numPr>
              <w:ind w:left="72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exibe mensagem informando a obrigatoriedade do campo.</w:t>
            </w:r>
          </w:p>
        </w:tc>
      </w:tr>
      <w:tr>
        <w:tc>
          <w:tcPr/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ind w:left="360" w:firstLine="0"/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Fim do UC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2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4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36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VLCg2Eva5/O+erWojdE9oCWOZ3g==">AMUW2mX9ULTd2tn6AgzqmiJHDC1mQM5nkksAKO6wqYtCryAmIgLOqzjGK7LzF3d+vgwCchIIEIFO6QbUqrNjL7tYKR1aL2+qSOAh9YQ5ldikjKYoZ3Irw4I=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