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pStyle w:val="Title"/>
        <w:spacing w:line="240" w:lineRule="auto"/>
        <w:ind w:left="0" w:right="-141.25984251968362" w:firstLine="0"/>
        <w:rPr/>
      </w:pPr>
      <w:bookmarkStart w:colFirst="0" w:colLast="0" w:name="_heading=h.po6hh3leel3h" w:id="0"/>
      <w:bookmarkEnd w:id="0"/>
      <w:r w:rsidDel="00000000" w:rsidR="00000000" w:rsidRPr="00000000">
        <w:rPr>
          <w:rtl w:val="0"/>
        </w:rPr>
        <w:t xml:space="preserve">Necessidades</w:t>
      </w:r>
    </w:p>
    <w:p w:rsidR="00000000" w:rsidDel="00000000" w:rsidP="00000000" w:rsidRDefault="00000000" w:rsidRPr="00000000" w14:paraId="00000002">
      <w:pPr>
        <w:spacing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420.0" w:type="dxa"/>
        <w:jc w:val="left"/>
        <w:tblInd w:w="130.0" w:type="dxa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1950"/>
        <w:gridCol w:w="7470"/>
        <w:tblGridChange w:id="0">
          <w:tblGrid>
            <w:gridCol w:w="1950"/>
            <w:gridCol w:w="7470"/>
          </w:tblGrid>
        </w:tblGridChange>
      </w:tblGrid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Necessidades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line="240" w:lineRule="auto"/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das manutenções dos equipamentos.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line="240" w:lineRule="auto"/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da venda e compra de equipamentos.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line="240" w:lineRule="auto"/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Gerenciar comissões dos funcionários.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line="240" w:lineRule="auto"/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Catalogar equipamentos para venda.</w:t>
            </w:r>
          </w:p>
        </w:tc>
      </w:tr>
    </w:tbl>
    <w:p w:rsidR="00000000" w:rsidDel="00000000" w:rsidP="00000000" w:rsidRDefault="00000000" w:rsidRPr="00000000" w14:paraId="0000000D">
      <w:pPr>
        <w:spacing w:line="259" w:lineRule="auto"/>
        <w:ind w:left="-59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850" w:top="1417.3228346456694" w:left="1417.3228346456694" w:right="1275.4724409448836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0F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0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1aJ0AOM762V23ccnMPDynV23Dhw==">AMUW2mUHBlubZjCghuRSEJxh6qDfzliRGhfHhS7d+cJbNEBJ/UjXLyGIGXo92y4F2wr73lj44QqHeY1+s8kC+4hX1pxKg8BpgSxs0EI6g4WID3nSWqgNVajslp1zLdLkQbnS2oLfFt17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