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Lista de Restrições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1905"/>
        <w:gridCol w:w="7650"/>
        <w:tblGridChange w:id="0">
          <w:tblGrid>
            <w:gridCol w:w="1905"/>
            <w:gridCol w:w="7650"/>
          </w:tblGrid>
        </w:tblGridChange>
      </w:tblGrid>
      <w:t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Restrição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Razão (lógica)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Não há qualquer medida de restrição da GamaWare à produção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0.3937007874016" w:top="1417.3228346456694" w:left="1417.3228346456694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EyouXuvgVDIwvNPXe32Wr2p3eg==">AMUW2mXvk6ZwdeAbK9jfazphZMv1fBxpsURrjj9bVzOIHWc4N0DwBiKr4/1nF9xs6/ujYgrD73XwVPAOJs49F1FcSXoZL8AELw9xNizuePaYpD70hdXIYI7r/eI6hB2qG+E1rZHkriJ1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