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ind w:left="0" w:firstLine="0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Requisitos de Software do Subsistema(SRS)</w:t>
      </w:r>
    </w:p>
    <w:p w:rsidR="00000000" w:rsidDel="00000000" w:rsidP="00000000" w:rsidRDefault="00000000" w:rsidRPr="00000000" w14:paraId="00000002">
      <w:pPr>
        <w:spacing w:line="240" w:lineRule="auto"/>
        <w:ind w:right="-891.2598425196836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left"/>
        <w:tblInd w:w="14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615"/>
        <w:gridCol w:w="1845"/>
        <w:gridCol w:w="5505"/>
        <w:gridCol w:w="1455"/>
        <w:tblGridChange w:id="0">
          <w:tblGrid>
            <w:gridCol w:w="615"/>
            <w:gridCol w:w="1845"/>
            <w:gridCol w:w="5505"/>
            <w:gridCol w:w="1455"/>
          </w:tblGrid>
        </w:tblGridChange>
      </w:tblGrid>
      <w:tr>
        <w:trPr>
          <w:trHeight w:val="66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ind w:right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Relação</w:t>
            </w:r>
          </w:p>
        </w:tc>
      </w:tr>
      <w:tr>
        <w:trPr>
          <w:trHeight w:val="10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o cliente enviou a resposta sobre o seu chamado em aberto ao atendente.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RN-0007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o cliente recebeu retorno do atendente no chamado após a abertura.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RN-0008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o status do chamado de devolução  foi encaminhado para o cliente.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RN-0012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há dinheiro em caixa para confirmação do pagamento de produtos ao fornecedor.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RN-0016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SRS-00005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validar se há dinheiro em caixa para confirmação da solicitação de manutenção ao terceiro.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RN-0021</w:t>
            </w:r>
          </w:p>
        </w:tc>
      </w:tr>
    </w:tbl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OdGizTmxbCV95cgHyQm/UDwqCEg==">AMUW2mXgI6SICANsfEEffwIsJMtVeOOeEw1K98daGklWdCh+VOhKir6QvQpvRA48a6dG4fqN8c/1YvDNI0VYsiLLudZccQtekcged7JrpZYTp19XoNE+04Q=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