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5A5F0" w14:textId="7C5357DC" w:rsidR="00D65C15" w:rsidRDefault="002905DC">
      <w:pPr>
        <w:rPr>
          <w:lang w:val="es-MX"/>
        </w:rPr>
      </w:pPr>
      <w:r>
        <w:rPr>
          <w:lang w:val="es-MX"/>
        </w:rPr>
        <w:t>LABORATORIO 14</w:t>
      </w:r>
    </w:p>
    <w:p w14:paraId="245E918D" w14:textId="5B02A729" w:rsidR="002905DC" w:rsidRDefault="002905DC">
      <w:pPr>
        <w:rPr>
          <w:lang w:val="es-MX"/>
        </w:rPr>
      </w:pPr>
    </w:p>
    <w:p w14:paraId="0FD3C10A" w14:textId="46DCCFAD" w:rsidR="002905DC" w:rsidRDefault="002905DC">
      <w:pPr>
        <w:rPr>
          <w:lang w:val="es-MX"/>
        </w:rPr>
      </w:pPr>
      <w:r>
        <w:rPr>
          <w:lang w:val="es-MX"/>
        </w:rPr>
        <w:t>PARTE 1</w:t>
      </w:r>
    </w:p>
    <w:p w14:paraId="201805D4" w14:textId="54A451A8" w:rsidR="002905DC" w:rsidRDefault="002905DC">
      <w:pPr>
        <w:rPr>
          <w:lang w:val="es-MX"/>
        </w:rPr>
      </w:pPr>
    </w:p>
    <w:p w14:paraId="3EDD8A59" w14:textId="00A58B26" w:rsidR="002905DC" w:rsidRDefault="002905DC">
      <w:pPr>
        <w:rPr>
          <w:lang w:val="es-MX"/>
        </w:rPr>
      </w:pPr>
      <w:r w:rsidRPr="002905DC">
        <w:rPr>
          <w:lang w:val="es-MX"/>
        </w:rPr>
        <w:drawing>
          <wp:inline distT="0" distB="0" distL="0" distR="0" wp14:anchorId="5AD2E4CD" wp14:editId="6AEF7D44">
            <wp:extent cx="4690887" cy="26384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4425" cy="264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E494" w14:textId="6D056449" w:rsidR="002905DC" w:rsidRDefault="002905DC">
      <w:pPr>
        <w:rPr>
          <w:lang w:val="es-MX"/>
        </w:rPr>
      </w:pPr>
      <w:r w:rsidRPr="002905DC">
        <w:rPr>
          <w:lang w:val="es-MX"/>
        </w:rPr>
        <w:drawing>
          <wp:inline distT="0" distB="0" distL="0" distR="0" wp14:anchorId="73BF26E2" wp14:editId="1B176EE1">
            <wp:extent cx="4758626" cy="2676525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7548" cy="268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275B" w14:textId="7A0C88D7" w:rsidR="002905DC" w:rsidRDefault="002905DC">
      <w:pPr>
        <w:rPr>
          <w:lang w:val="es-MX"/>
        </w:rPr>
      </w:pPr>
      <w:r>
        <w:rPr>
          <w:lang w:val="es-MX"/>
        </w:rPr>
        <w:t xml:space="preserve">CONCLUCION: </w:t>
      </w:r>
      <w:r w:rsidRPr="002905DC">
        <w:rPr>
          <w:lang w:val="es-MX"/>
        </w:rPr>
        <w:t>Tienda 1 supera en ventas a Tienda 2 en todos los productos, especialmente en el Producto B, que tiene una diferencia notable. Esto podría indicar una mejor estrategia de ventas, mayor demanda o mejor disponibilidad del producto en esa ubicación.</w:t>
      </w:r>
    </w:p>
    <w:p w14:paraId="4DEAAC72" w14:textId="3EE67F09" w:rsidR="002905DC" w:rsidRDefault="002905DC">
      <w:pPr>
        <w:rPr>
          <w:lang w:val="es-MX"/>
        </w:rPr>
      </w:pPr>
    </w:p>
    <w:p w14:paraId="2BA44C25" w14:textId="5909F30B" w:rsidR="002905DC" w:rsidRDefault="002905DC">
      <w:pPr>
        <w:rPr>
          <w:lang w:val="es-MX"/>
        </w:rPr>
      </w:pPr>
    </w:p>
    <w:p w14:paraId="6DBDD166" w14:textId="26171F2E" w:rsidR="002905DC" w:rsidRDefault="002905DC">
      <w:pPr>
        <w:rPr>
          <w:lang w:val="es-MX"/>
        </w:rPr>
      </w:pPr>
    </w:p>
    <w:p w14:paraId="7DE0C653" w14:textId="1245897F" w:rsidR="002905DC" w:rsidRDefault="002905DC">
      <w:pPr>
        <w:rPr>
          <w:lang w:val="es-MX"/>
        </w:rPr>
      </w:pPr>
      <w:r>
        <w:rPr>
          <w:lang w:val="es-MX"/>
        </w:rPr>
        <w:lastRenderedPageBreak/>
        <w:t>PARTE 2</w:t>
      </w:r>
    </w:p>
    <w:p w14:paraId="10B886AF" w14:textId="1D1C98A0" w:rsidR="001B28CA" w:rsidRDefault="001B28CA">
      <w:pPr>
        <w:rPr>
          <w:lang w:val="es-MX"/>
        </w:rPr>
      </w:pPr>
      <w:r w:rsidRPr="001B28CA">
        <w:rPr>
          <w:lang w:val="es-MX"/>
        </w:rPr>
        <w:drawing>
          <wp:inline distT="0" distB="0" distL="0" distR="0" wp14:anchorId="59DC3BBA" wp14:editId="17CFE1F8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E812" w14:textId="68868665" w:rsidR="001B28CA" w:rsidRDefault="001B28CA">
      <w:r>
        <w:rPr>
          <w:lang w:val="es-MX"/>
        </w:rPr>
        <w:t xml:space="preserve">CONCLUCION: </w:t>
      </w:r>
      <w:r>
        <w:t>El análisis de rendimiento muestra que los empleados que completan más proyectos no siempre obtienen las mejores calificaciones, lo que sugiere que la eficiencia y la calidad del trabajo son factores clave. Aquellos con un equilibrio entre horas trabajadas y proyectos entregados tienden a tener mejores evaluaciones. El uso de métricas como “eficiencia” y “promedio de calificación” permite identificar a los empleados con alto potencial y también áreas donde se necesita capacitación o mejora del entorno laboral.</w:t>
      </w:r>
    </w:p>
    <w:p w14:paraId="0BDECB34" w14:textId="7D263CB0" w:rsidR="001B28CA" w:rsidRDefault="001B28CA"/>
    <w:p w14:paraId="3EF331FC" w14:textId="1E199839" w:rsidR="001B28CA" w:rsidRDefault="001B28CA">
      <w:r>
        <w:t>PARTE 3</w:t>
      </w:r>
    </w:p>
    <w:p w14:paraId="56F17522" w14:textId="6344AC1F" w:rsidR="001B28CA" w:rsidRDefault="00835269">
      <w:pPr>
        <w:rPr>
          <w:lang w:val="es-MX"/>
        </w:rPr>
      </w:pPr>
      <w:r w:rsidRPr="00835269">
        <w:rPr>
          <w:lang w:val="es-MX"/>
        </w:rPr>
        <w:lastRenderedPageBreak/>
        <w:drawing>
          <wp:inline distT="0" distB="0" distL="0" distR="0" wp14:anchorId="49059D65" wp14:editId="283A6515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04C4" w14:textId="48E661BA" w:rsidR="00835269" w:rsidRPr="00835269" w:rsidRDefault="00835269">
      <w:pPr>
        <w:rPr>
          <w:u w:val="single"/>
          <w:lang w:val="es-MX"/>
        </w:rPr>
      </w:pPr>
      <w:r>
        <w:rPr>
          <w:lang w:val="es-MX"/>
        </w:rPr>
        <w:t xml:space="preserve">CONCLUCION: </w:t>
      </w:r>
      <w:r>
        <w:t>El análisis revela que algunos edificios presentan un consumo elevado sin una relación proporcional en el costo, lo que puede indicar tarifas energéticas diferentes o ineficiencias. Se identificaron picos de consumo en ciertos meses, lo cual puede estar asociado a condiciones climáticas o eventos específicos. Este informe permite priorizar auditorías energéticas en edificios con mayor costo por kWh y aplicar medidas de ahorro donde se observe un patrón de consumo elevado sin justificación operativa clara.</w:t>
      </w:r>
    </w:p>
    <w:sectPr w:rsidR="00835269" w:rsidRPr="008352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DC"/>
    <w:rsid w:val="001B28CA"/>
    <w:rsid w:val="002905DC"/>
    <w:rsid w:val="00835269"/>
    <w:rsid w:val="00C92A96"/>
    <w:rsid w:val="00D6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4F6D8"/>
  <w15:chartTrackingRefBased/>
  <w15:docId w15:val="{A86D824C-EADD-4076-A413-F541F6B48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cp:lastPrinted>2025-05-28T01:32:00Z</cp:lastPrinted>
  <dcterms:created xsi:type="dcterms:W3CDTF">2025-05-28T00:45:00Z</dcterms:created>
  <dcterms:modified xsi:type="dcterms:W3CDTF">2025-05-28T01:33:00Z</dcterms:modified>
</cp:coreProperties>
</file>