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Work Sans" w:cs="Work Sans" w:eastAsia="Work Sans" w:hAnsi="Work Sans"/>
          <w:color w:val="000000"/>
          <w:sz w:val="38"/>
          <w:szCs w:val="38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8"/>
          <w:szCs w:val="38"/>
          <w:rtl w:val="0"/>
        </w:rPr>
        <w:t xml:space="preserve">Relatório Consolidado de Diagnóstico de Marketing e Vendas – Saibai</w:t>
      </w:r>
    </w:p>
    <w:p w:rsidR="00000000" w:rsidDel="00000000" w:rsidP="00000000" w:rsidRDefault="00000000" w:rsidRPr="00000000" w14:paraId="00000002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Este documento consolida todos os diagnósticos construídos ao longo do projeto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Diagnóstico e Planejamento de Marketing e Vendas da Saibai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seguindo rigorosamente a ordem metodológica aplicada no processo. O objetivo é registrar, de forma estruturada e estratégica, os aprendizados, análises e conclusões levantadas nas frentes de mercado, marketing, vendas, comunicação, criativos, mídia, tecnologia e capital.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 relatório serve como base oficial para tomada de decisão, priorização estratégica e execução do plano de crescimento da Saibai.</w:t>
      </w:r>
    </w:p>
    <w:p w:rsidR="00000000" w:rsidDel="00000000" w:rsidP="00000000" w:rsidRDefault="00000000" w:rsidRPr="00000000" w14:paraId="00000005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2. Kick-off e Contexto Estratégico</w:t>
      </w:r>
    </w:p>
    <w:p w:rsidR="00000000" w:rsidDel="00000000" w:rsidP="00000000" w:rsidRDefault="00000000" w:rsidRPr="00000000" w14:paraId="00000007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2.1 Histórico e Momento Atual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Saibai é uma agroindústria especializada na produção de hortaliças premium, com forte diferenciação na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alcachofra fresca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atuando nos pilares de produção própria, logística refrigerada e canais digitais (B2B e B2C).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empresa apresenta: - Crescimento acelerado de faturamento - Forte concentração de receita em B2B (restaurantes premium – ~92%) - Expansão recente e promissora no e-commerce (~12% do faturamento) - Alto potencial de branding e autoridade nacional</w:t>
      </w:r>
    </w:p>
    <w:p w:rsidR="00000000" w:rsidDel="00000000" w:rsidP="00000000" w:rsidRDefault="00000000" w:rsidRPr="00000000" w14:paraId="0000000A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2.2 Objetivos Estratégicos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Tornar-se referência nacional em alcachofra fresca e hortaliças premium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Estruturar crescimento previsível em marketing e vendas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Desenvolver canais digitais escaláveis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Reduzir dependência operacional do fundador</w:t>
      </w:r>
    </w:p>
    <w:p w:rsidR="00000000" w:rsidDel="00000000" w:rsidP="00000000" w:rsidRDefault="00000000" w:rsidRPr="00000000" w14:paraId="0000000F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3. Diagnóstico de Mercado</w:t>
      </w:r>
    </w:p>
    <w:p w:rsidR="00000000" w:rsidDel="00000000" w:rsidP="00000000" w:rsidRDefault="00000000" w:rsidRPr="00000000" w14:paraId="00000011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3.1 Definição de Mercado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Saibai atua na interseção entre: - Agroindústria de hortaliças premium - Food service de alto padrão - E-commerce de produtos frescos e gourmet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Trata-se de um mercado tradicional, fragmentado e pouco digitalizado, com forte oportunidade de liderança por diferenciação.</w:t>
      </w:r>
    </w:p>
    <w:p w:rsidR="00000000" w:rsidDel="00000000" w:rsidP="00000000" w:rsidRDefault="00000000" w:rsidRPr="00000000" w14:paraId="00000014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3.2 Submercados Relevantes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Hortifrúti premium e agroindústria especializada (core)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E-commerce de produtos frescos e gourmet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Marketplaces de nicho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Food service premium (restaurantes A/B+)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Assinaturas de cestas e clubes de frescor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Conteúdo gastronômico e monetização de marca</w:t>
      </w:r>
    </w:p>
    <w:p w:rsidR="00000000" w:rsidDel="00000000" w:rsidP="00000000" w:rsidRDefault="00000000" w:rsidRPr="00000000" w14:paraId="0000001B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3.3 Posicionamento Competitivo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Saibai não concorre com hortifrúti comum. Compete com: - Experiências gastronômicas - Produtos premium - Marcas de autoridade e origem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Caracteriza-se como um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oceano azul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especialmente em alcachofra fresca.</w:t>
      </w:r>
    </w:p>
    <w:p w:rsidR="00000000" w:rsidDel="00000000" w:rsidP="00000000" w:rsidRDefault="00000000" w:rsidRPr="00000000" w14:paraId="0000001E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3.4 Oportunidades de Mercado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Demanda reprimida nacional por alcachofra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Baixa concorrência digital estruturada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ROAS elevado e conversão acima da média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Forte apelo de memória afetiva e presenteável</w:t>
      </w:r>
    </w:p>
    <w:p w:rsidR="00000000" w:rsidDel="00000000" w:rsidP="00000000" w:rsidRDefault="00000000" w:rsidRPr="00000000" w14:paraId="00000023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4. Diagnóstico FMA</w:t>
      </w:r>
    </w:p>
    <w:p w:rsidR="00000000" w:rsidDel="00000000" w:rsidP="00000000" w:rsidRDefault="00000000" w:rsidRPr="00000000" w14:paraId="00000025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4.1 Processos (FMA 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5,0/10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pontos: - Baixa padronização comercial - Ausência de SLA formal - Processos dependentes de pessoas-chave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Impacto: dificuldade de escala e previsibilidade.</w:t>
      </w:r>
    </w:p>
    <w:p w:rsidR="00000000" w:rsidDel="00000000" w:rsidP="00000000" w:rsidRDefault="00000000" w:rsidRPr="00000000" w14:paraId="00000029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4.2 Pessoas (FMA 2)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5,0/10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pontos: - Estrutura enxuta - Falta de papéis comerciais claros (SDR / Closer) - Treinamentos informais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Impacto: baixa eficiência comercial e conversão.</w:t>
      </w:r>
    </w:p>
    <w:p w:rsidR="00000000" w:rsidDel="00000000" w:rsidP="00000000" w:rsidRDefault="00000000" w:rsidRPr="00000000" w14:paraId="0000002D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4.3 Mídia (FMA 3)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6,0/10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pontos: - Mídia paga com excelente performance - Criativos pouco intencionais - Falta de funil estruturado por canal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Impacto: subaproveitamento de mercado.</w:t>
      </w:r>
    </w:p>
    <w:p w:rsidR="00000000" w:rsidDel="00000000" w:rsidP="00000000" w:rsidRDefault="00000000" w:rsidRPr="00000000" w14:paraId="00000031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4.4 Tecnologia (FMA 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6,0/10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pontos: - Tracking bem implementado - Falta de CRM robusto - Dados subutilizados para decisão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Impacto: perda de inteligência comercial.</w:t>
      </w:r>
    </w:p>
    <w:p w:rsidR="00000000" w:rsidDel="00000000" w:rsidP="00000000" w:rsidRDefault="00000000" w:rsidRPr="00000000" w14:paraId="00000035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4.5 Capital (FMA 5)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6,0/10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pontos: - Margem saudável - Precificação pouco explorada como estratégia - Falta de indicadores gerenciais integrados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Impacto: decisões financeiras reativas.</w:t>
      </w:r>
    </w:p>
    <w:p w:rsidR="00000000" w:rsidDel="00000000" w:rsidP="00000000" w:rsidRDefault="00000000" w:rsidRPr="00000000" w14:paraId="00000039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5. Diagnóstico de Marketing</w:t>
      </w:r>
    </w:p>
    <w:p w:rsidR="00000000" w:rsidDel="00000000" w:rsidP="00000000" w:rsidRDefault="00000000" w:rsidRPr="00000000" w14:paraId="0000003B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5.1 Mídia Paga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ROAS extremamente alto (indicando subinvestimento)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Conversão acima da média do mercado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Público majoritariamente iOS (perfil premium)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Oportunidade clara de escala controlada.</w:t>
      </w:r>
    </w:p>
    <w:p w:rsidR="00000000" w:rsidDel="00000000" w:rsidP="00000000" w:rsidRDefault="00000000" w:rsidRPr="00000000" w14:paraId="00000040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5.2 Criativos e Comunicação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achados: - Criativos informativos, pouco emocionais - Falta de narrativa de rotina, pertencimento e desejo - Distanciamento do conceito de comida real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Benchmark aponta que o mercado responde melhor a: - Conteúdos de rotina - Emoção - Autoridade visual</w:t>
      </w:r>
    </w:p>
    <w:p w:rsidR="00000000" w:rsidDel="00000000" w:rsidP="00000000" w:rsidRDefault="00000000" w:rsidRPr="00000000" w14:paraId="00000043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5.3 Social Media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Bio pouco estratégica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Feed inconsistente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Falta de storytelling estruturado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 direto na percepção premium da marca.</w:t>
      </w:r>
    </w:p>
    <w:p w:rsidR="00000000" w:rsidDel="00000000" w:rsidP="00000000" w:rsidRDefault="00000000" w:rsidRPr="00000000" w14:paraId="00000048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5.4 Site e CRO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Boa base estrutural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Falta de provas sociais visíveis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Jornada pouco guiada</w:t>
      </w:r>
    </w:p>
    <w:p w:rsidR="00000000" w:rsidDel="00000000" w:rsidP="00000000" w:rsidRDefault="00000000" w:rsidRPr="00000000" w14:paraId="0000004C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6. Diagnóstico Comercial</w:t>
      </w:r>
    </w:p>
    <w:p w:rsidR="00000000" w:rsidDel="00000000" w:rsidP="00000000" w:rsidRDefault="00000000" w:rsidRPr="00000000" w14:paraId="0000004E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6.1 Cliente Oculto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 geral: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3,7/10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problemas: - Atendimento informativo, não vendedor - Ausência total de qualificação - Falta de condução para conversão - Nenhum funil ou follow-up</w:t>
      </w:r>
    </w:p>
    <w:p w:rsidR="00000000" w:rsidDel="00000000" w:rsidP="00000000" w:rsidRDefault="00000000" w:rsidRPr="00000000" w14:paraId="00000051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6.2 Estrutura Comercial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Não há separação clara entre atendimento e vendas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Ausência de CRM funcional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Processos não replicáveis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Impacto: perda direta de receita.</w:t>
      </w:r>
    </w:p>
    <w:p w:rsidR="00000000" w:rsidDel="00000000" w:rsidP="00000000" w:rsidRDefault="00000000" w:rsidRPr="00000000" w14:paraId="00000056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7. Diagnóstico de Comunicação e Benchmarking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Principais aprendizados: - Mercado responde a emoção + autoridade - Design atua como blindagem contra guerra de preço - Educação gera confiança e ticket maior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Saibai hoje comunica mais como indústria do que como marca premium.</w:t>
      </w:r>
    </w:p>
    <w:p w:rsidR="00000000" w:rsidDel="00000000" w:rsidP="00000000" w:rsidRDefault="00000000" w:rsidRPr="00000000" w14:paraId="0000005A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8. Conclusão Geral do Diagnóstico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_(Seções anteriores consolidadas com base nos diagnósticos iniciais. Abaixo, adicionamos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novas camadas estratégicas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 partir das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reuniões de pesquisa de mercado, marketing, comercial e entrega final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ampliando a profundidade analítica e ajustando prioridades.)</w:t>
      </w:r>
    </w:p>
    <w:p w:rsidR="00000000" w:rsidDel="00000000" w:rsidP="00000000" w:rsidRDefault="00000000" w:rsidRPr="00000000" w14:paraId="0000005D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8.1 Insights Estratégicos Adicionais – Pesquisa de Mercado (Reuniões)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Novas informações incorporadas: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A logística é o maior fator crítico de sucesso no B2C nacional. Marketplaces tradicionais (ex.: Mercado Livre) não sustentam produtos frescos premium → reforça a necessidade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canal direto (DTC)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- O foco estratégico validado pelo fundador é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B2C via e-commerce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com B2B atuando como base de volume e reputação. - A alcachofra é um produto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demanda reprimida nacional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com busca concentrada em grandes centros (SP, RJ, Sul). - Forte validação do modelo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assinaturas e clubes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como solução para pós-safra.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JTBD: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B2C: “Quero comprar um produto raro, fresco e confiável sem risco logístico ou de qualidade.” - B2B: “Quero previsibilidade, padrão e zero surpresa no fornecimento.”</w:t>
      </w:r>
    </w:p>
    <w:p w:rsidR="00000000" w:rsidDel="00000000" w:rsidP="00000000" w:rsidRDefault="00000000" w:rsidRPr="00000000" w14:paraId="00000061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8.2 Insights Estratégicos Adicionais – Diagnóstico de Marketing (Reuniões)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Intencionalidade Visual (Novo Diagnóstico):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O problema central não é estética, mas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ausência de intenção estratégica no design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- Comunicação atual transmite indústria fria; o mercado responde melhor a: - Emoção (Raízes) - Autoridade técnica (Korín) - Velocidade/conveniência (Oba)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Nova Diretriz Criativa: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Criativos devem cumprir função clara no funil: - Topo: emoção + pertencimento - Meio: educação + autoridade - Fundo: urgência + escassez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Pós-safra como Ativo Estratégico: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Fora de safra não é pausa, é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fase de construção de audiência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- Uso de conteúdos de baixo custo (reacts, receitas, bastidores) para aquecer públicos.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E-commerce – Nova Leitura: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Categorias vazias geram desconfiança → substituir por: - Lista de espera - Lead magnet - Aviso de safra</w:t>
      </w:r>
    </w:p>
    <w:p w:rsidR="00000000" w:rsidDel="00000000" w:rsidP="00000000" w:rsidRDefault="00000000" w:rsidRPr="00000000" w14:paraId="00000067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8.3 Insights Estratégicos Adicionais – Diagnóstico Comercial (Reuniões)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Atualização da Leitura Comercial: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A operação não é amadora, mas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reativa e não documentada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- Existe conhecimento tácito (scripts informais, respostas salvas), porém sem governança.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Nova Classificação de Maturidade: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Atendimento: cordial e técnico - Vendas: baixa intencionalidade - Gestão: centralizada no fundador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Ponto-chave revelado: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&gt; O gargalo não é esforço da equipe, é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ausência de sistema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CRM – Nova Perspectiva: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CRM não como controle, mas como: - Mapa de oportunidades futuras - Base de dados própria (ativo estratégico) - Canal de automação de safra, recompra e lançamento</w:t>
      </w:r>
    </w:p>
    <w:p w:rsidR="00000000" w:rsidDel="00000000" w:rsidP="00000000" w:rsidRDefault="00000000" w:rsidRPr="00000000" w14:paraId="0000006D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8.4 Insights da Reunião de Entrega Final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Validações importantes: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Manual de Copy aprovado como núcleo rígido da marca. - Identidade visual validada (modernização sem perder essência). - GTM focado em B2C como prioridade absoluta.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Novas Diretrizes Estratégicas: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Orçamento de marketing limitado a ~5% do faturamento. - Necessidade de ROI claro e previsibilidade. - Comunicação deve elevar percepção premium antes de escalar mídia.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Nova Leitura do Crescimento: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Escala não virá de mais canais, mas de: - Melhor conversão - Melhor ticket - Melhor retenção</w:t>
      </w:r>
    </w:p>
    <w:p w:rsidR="00000000" w:rsidDel="00000000" w:rsidP="00000000" w:rsidRDefault="00000000" w:rsidRPr="00000000" w14:paraId="00000072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9. Conclusão Geral Atualizada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 a incorporação das reuniões, o diagnóstico evolui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técnico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estratégico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Saibai possui: - Produto raro e desejado - Mercado validado e subexplorado - Métricas acima da média - Fundador com visão clara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Os bloqueios reais estão em: - Estruturação de marketing (mensagem e intenção) - Sistema comercial (CRM + processos) - Uso estratégico da entressafra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👉 O crescimento da Saibai não depende de fazer mais, mas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organizar, padronizar e escalar o que já funciona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Work Sans" w:cs="Work Sans" w:eastAsia="Work Sans" w:hAnsi="Work Sans"/>
          <w:color w:val="00000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30"/>
          <w:szCs w:val="30"/>
          <w:rtl w:val="0"/>
        </w:rPr>
        <w:t xml:space="preserve">10. Planos de Ação Consolidados por Diagnóstico</w:t>
      </w:r>
    </w:p>
    <w:p w:rsidR="00000000" w:rsidDel="00000000" w:rsidP="00000000" w:rsidRDefault="00000000" w:rsidRPr="00000000" w14:paraId="0000007A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10.1 Plano de Ação – Diagnóstico de Mercado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capturar demanda reprimida e estruturar crescimento nacional com menor risco logístico.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Ações Prioritárias: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Definir oficialmente o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B2C via e-commerce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como motor de crescimento. - Estruturar comunicação nacional focada em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alcachofra fresca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como produto-âncora. - Criar landing pages SEO para termos estratégicos. - Validar modelo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assinatura / clube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como solução de recorrência e pós-safra. - Tratar logística como diferencial competitivo central.</w:t>
      </w:r>
    </w:p>
    <w:p w:rsidR="00000000" w:rsidDel="00000000" w:rsidP="00000000" w:rsidRDefault="00000000" w:rsidRPr="00000000" w14:paraId="0000007D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10.2 Plano de Ação – Diagnóstico FMA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Processos: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Criar SLAs formais de atendimento. - Documentar processos críticos.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Pessoas: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Separar funções comerciais. - Treinamento quinzenal focado em conversão.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Mídia: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Funil claro por canal. - Criativos orientados por objetivo.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Tecnologia: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Implementar CRM. - Centralizar dados e histórico.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Capital: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Teto de investimento em marketing. - KPIs claros (CAC, LTV, recompra).</w:t>
      </w:r>
    </w:p>
    <w:p w:rsidR="00000000" w:rsidDel="00000000" w:rsidP="00000000" w:rsidRDefault="00000000" w:rsidRPr="00000000" w14:paraId="00000084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10.3 Plano de Ação – Diagnóstico de Marketing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Escalar mídia mantendo ROAS mínimo.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Criativos estruturados em emoção, autoridade e urgência.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Reestruturação completa do Instagram (bio, feed, destaques).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Calendário 50/30/20.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CRO focado em mobile, prova social e listas de espera.</w:t>
      </w:r>
    </w:p>
    <w:p w:rsidR="00000000" w:rsidDel="00000000" w:rsidP="00000000" w:rsidRDefault="00000000" w:rsidRPr="00000000" w14:paraId="0000008B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10.4 Plano de Ação – Diagnóstico Comercial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30 dias: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scripts, SLA e catálogo.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60 dias: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CRM, follow-up e treinamento.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90 dias:</w:t>
      </w: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automações, chatbot e funil WhatsApp.</w:t>
      </w:r>
    </w:p>
    <w:p w:rsidR="00000000" w:rsidDel="00000000" w:rsidP="00000000" w:rsidRDefault="00000000" w:rsidRPr="00000000" w14:paraId="00000090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10.5 Plano de Ação – Diagnóstico de Comunicação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obrigatório do Manual de Copy.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Storytelling de origem.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Provas sociais em vídeo.</w:t>
      </w:r>
    </w:p>
    <w:p w:rsidR="00000000" w:rsidDel="00000000" w:rsidP="00000000" w:rsidRDefault="00000000" w:rsidRPr="00000000" w14:paraId="00000095">
      <w:pPr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rFonts w:ascii="Work Sans" w:cs="Work Sans" w:eastAsia="Work Sans" w:hAnsi="Work Sans"/>
          <w:color w:val="000000"/>
          <w:sz w:val="26"/>
          <w:szCs w:val="26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10.6 Plano de Ação – Estratégia Geral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Menos canais, mais profundidade.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Construção de audiência na entressafra.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Dados como ativo estratégico.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Work Sans" w:cs="Work Sans" w:eastAsia="Work Sans" w:hAnsi="Work Sans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Fundador focado no estratégico.</w:t>
      </w:r>
    </w:p>
    <w:p w:rsidR="00000000" w:rsidDel="00000000" w:rsidP="00000000" w:rsidRDefault="00000000" w:rsidRPr="00000000" w14:paraId="0000009B">
      <w:pPr>
        <w:rPr>
          <w:rFonts w:ascii="Work Sans" w:cs="Work Sans" w:eastAsia="Work Sans" w:hAnsi="Work San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ork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WorkSans-regular.ttf"/><Relationship Id="rId4" Type="http://schemas.openxmlformats.org/officeDocument/2006/relationships/font" Target="fonts/WorkSans-bold.ttf"/><Relationship Id="rId5" Type="http://schemas.openxmlformats.org/officeDocument/2006/relationships/font" Target="fonts/WorkSans-italic.ttf"/><Relationship Id="rId6" Type="http://schemas.openxmlformats.org/officeDocument/2006/relationships/font" Target="fonts/Work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