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FA78D" w14:textId="16EF347F" w:rsidR="00E60311" w:rsidRDefault="00E60311" w:rsidP="00F94972">
      <w:pPr>
        <w:spacing w:line="360" w:lineRule="auto"/>
        <w:rPr>
          <w:rFonts w:cstheme="minorHAnsi"/>
          <w:sz w:val="24"/>
          <w:szCs w:val="24"/>
        </w:rPr>
      </w:pPr>
      <w:r>
        <w:rPr>
          <w:rFonts w:cstheme="minorHAnsi"/>
          <w:sz w:val="24"/>
          <w:szCs w:val="24"/>
        </w:rPr>
        <w:t>Brief Market Analysis</w:t>
      </w:r>
      <w:bookmarkStart w:id="0" w:name="_GoBack"/>
      <w:bookmarkEnd w:id="0"/>
    </w:p>
    <w:p w14:paraId="1D5E9BEE" w14:textId="13FB0D08" w:rsidR="004825D9" w:rsidRPr="00F94972" w:rsidRDefault="004825D9" w:rsidP="00F94972">
      <w:pPr>
        <w:spacing w:line="360" w:lineRule="auto"/>
        <w:rPr>
          <w:rFonts w:cstheme="minorHAnsi"/>
          <w:sz w:val="24"/>
          <w:szCs w:val="24"/>
        </w:rPr>
      </w:pPr>
      <w:r w:rsidRPr="00F94972">
        <w:rPr>
          <w:rFonts w:cstheme="minorHAnsi"/>
          <w:sz w:val="24"/>
          <w:szCs w:val="24"/>
        </w:rPr>
        <w:t xml:space="preserve">Electric bicycles, also referred to as e-bikes, are bicycles that are fitted with an electric motor which helps the user to gain momentum. They make use of chargeable batteries, depending on their sizes and capacities. There are many different categories of e-bikes, such as peddle assist, throttle on demand, speed </w:t>
      </w:r>
      <w:proofErr w:type="spellStart"/>
      <w:r w:rsidRPr="00F94972">
        <w:rPr>
          <w:rFonts w:cstheme="minorHAnsi"/>
          <w:sz w:val="24"/>
          <w:szCs w:val="24"/>
        </w:rPr>
        <w:t>pedelec</w:t>
      </w:r>
      <w:proofErr w:type="spellEnd"/>
      <w:r w:rsidRPr="00F94972">
        <w:rPr>
          <w:rFonts w:cstheme="minorHAnsi"/>
          <w:sz w:val="24"/>
          <w:szCs w:val="24"/>
        </w:rPr>
        <w:t xml:space="preserve"> and electric moped.</w:t>
      </w:r>
    </w:p>
    <w:p w14:paraId="5A43BC64" w14:textId="64CBB6BB" w:rsidR="004825D9" w:rsidRPr="00F94972" w:rsidRDefault="004825D9" w:rsidP="00F94972">
      <w:pPr>
        <w:spacing w:line="360" w:lineRule="auto"/>
        <w:rPr>
          <w:rFonts w:cstheme="minorHAnsi"/>
          <w:sz w:val="24"/>
          <w:szCs w:val="24"/>
        </w:rPr>
      </w:pPr>
      <w:r w:rsidRPr="00F94972">
        <w:rPr>
          <w:rFonts w:cstheme="minorHAnsi"/>
          <w:sz w:val="24"/>
          <w:szCs w:val="24"/>
        </w:rPr>
        <w:t xml:space="preserve">E-bikes have been and are continuing to be the highest selling electrical assisted vehicle on the planet, with nearly </w:t>
      </w:r>
      <w:proofErr w:type="gramStart"/>
      <w:r w:rsidRPr="00F94972">
        <w:rPr>
          <w:rFonts w:cstheme="minorHAnsi"/>
          <w:sz w:val="24"/>
          <w:szCs w:val="24"/>
        </w:rPr>
        <w:t>35 million unit</w:t>
      </w:r>
      <w:proofErr w:type="gramEnd"/>
      <w:r w:rsidRPr="00F94972">
        <w:rPr>
          <w:rFonts w:cstheme="minorHAnsi"/>
          <w:sz w:val="24"/>
          <w:szCs w:val="24"/>
        </w:rPr>
        <w:t xml:space="preserve"> sales forecast in 2016. Many factors </w:t>
      </w:r>
      <w:r w:rsidR="00175057" w:rsidRPr="00F94972">
        <w:rPr>
          <w:rFonts w:cstheme="minorHAnsi"/>
          <w:sz w:val="24"/>
          <w:szCs w:val="24"/>
        </w:rPr>
        <w:t>are behind this reason of high-sales, such as its lower cost relative to cars, do not require any licensing, and improvements in other technologies, mainly on the Lithium ion, or Li-ion battery, making it cheaper and lighter</w:t>
      </w:r>
      <w:r w:rsidRPr="00F94972">
        <w:rPr>
          <w:rFonts w:cstheme="minorHAnsi"/>
          <w:sz w:val="24"/>
          <w:szCs w:val="24"/>
        </w:rPr>
        <w:t>. This shows that e-bikes are uniquely positioned to be a primary benefactor of this trend.</w:t>
      </w:r>
    </w:p>
    <w:p w14:paraId="2E97A205" w14:textId="0C7DA224" w:rsidR="004825D9" w:rsidRDefault="004825D9" w:rsidP="00F94972">
      <w:pPr>
        <w:spacing w:line="360" w:lineRule="auto"/>
        <w:rPr>
          <w:rFonts w:cstheme="minorHAnsi"/>
          <w:sz w:val="24"/>
          <w:szCs w:val="24"/>
        </w:rPr>
      </w:pPr>
    </w:p>
    <w:p w14:paraId="4AC1F660" w14:textId="5D0E9871" w:rsidR="00E60311" w:rsidRPr="00F94972" w:rsidRDefault="00E60311" w:rsidP="00F94972">
      <w:pPr>
        <w:spacing w:line="360" w:lineRule="auto"/>
        <w:rPr>
          <w:rFonts w:cstheme="minorHAnsi"/>
          <w:sz w:val="24"/>
          <w:szCs w:val="24"/>
        </w:rPr>
      </w:pPr>
      <w:r>
        <w:rPr>
          <w:rFonts w:cstheme="minorHAnsi"/>
          <w:sz w:val="24"/>
          <w:szCs w:val="24"/>
        </w:rPr>
        <w:t>Regional Trends</w:t>
      </w:r>
    </w:p>
    <w:p w14:paraId="5E113F3A" w14:textId="02D21F8E" w:rsidR="00175057" w:rsidRPr="00F94972" w:rsidRDefault="00175057" w:rsidP="00F94972">
      <w:pPr>
        <w:spacing w:line="360" w:lineRule="auto"/>
        <w:rPr>
          <w:rFonts w:cstheme="minorHAnsi"/>
          <w:sz w:val="24"/>
          <w:szCs w:val="24"/>
        </w:rPr>
      </w:pPr>
      <w:r w:rsidRPr="00F94972">
        <w:rPr>
          <w:rFonts w:cstheme="minorHAnsi"/>
          <w:sz w:val="24"/>
          <w:szCs w:val="24"/>
        </w:rPr>
        <w:t>Within the regional trends, the global e-bike markets are well-position</w:t>
      </w:r>
      <w:r w:rsidR="00DD4627" w:rsidRPr="00F94972">
        <w:rPr>
          <w:rFonts w:cstheme="minorHAnsi"/>
          <w:sz w:val="24"/>
          <w:szCs w:val="24"/>
        </w:rPr>
        <w:t>ed towards huge growths, primarily within the Li-ion battery section. Although sealed lead-acid (SLA) batteries continue to represent the largest segment of e-bikes due to lower costs and popularity in China, the market share of this type of battery will decrease significantly over the next few years, because of the bad environmental impacts and the increasing performances from Li-ion batteries.</w:t>
      </w:r>
      <w:r w:rsidR="00684F95" w:rsidRPr="00F94972">
        <w:rPr>
          <w:rFonts w:cstheme="minorHAnsi"/>
          <w:sz w:val="24"/>
          <w:szCs w:val="24"/>
        </w:rPr>
        <w:t xml:space="preserve"> </w:t>
      </w:r>
      <w:r w:rsidR="006E724C" w:rsidRPr="00F94972">
        <w:rPr>
          <w:rFonts w:cstheme="minorHAnsi"/>
          <w:sz w:val="24"/>
          <w:szCs w:val="24"/>
        </w:rPr>
        <w:t>T</w:t>
      </w:r>
      <w:r w:rsidR="00684F95" w:rsidRPr="00F94972">
        <w:rPr>
          <w:rFonts w:cstheme="minorHAnsi"/>
          <w:sz w:val="24"/>
          <w:szCs w:val="24"/>
        </w:rPr>
        <w:t>he e-bike industr</w:t>
      </w:r>
      <w:r w:rsidR="006E724C" w:rsidRPr="00F94972">
        <w:rPr>
          <w:rFonts w:cstheme="minorHAnsi"/>
          <w:sz w:val="24"/>
          <w:szCs w:val="24"/>
        </w:rPr>
        <w:t>ies</w:t>
      </w:r>
      <w:r w:rsidR="00684F95" w:rsidRPr="00F94972">
        <w:rPr>
          <w:rFonts w:cstheme="minorHAnsi"/>
          <w:sz w:val="24"/>
          <w:szCs w:val="24"/>
        </w:rPr>
        <w:t xml:space="preserve"> </w:t>
      </w:r>
      <w:r w:rsidR="006E724C" w:rsidRPr="00F94972">
        <w:rPr>
          <w:rFonts w:cstheme="minorHAnsi"/>
          <w:sz w:val="24"/>
          <w:szCs w:val="24"/>
        </w:rPr>
        <w:t>are driven from the high urbanization rates, improvements in technologies of batteries and bicycling infrastructure, aggressive energy rules and policies, low cost and many others. However, the low costs in gasoline, low consumer awareness, and high costs relatively to traditional bicycles have impacted restricting sales in some markets.</w:t>
      </w:r>
    </w:p>
    <w:p w14:paraId="1AF41A99" w14:textId="09A52B93" w:rsidR="006E724C" w:rsidRPr="00F94972" w:rsidRDefault="00DA6168" w:rsidP="00F94972">
      <w:pPr>
        <w:spacing w:line="360" w:lineRule="auto"/>
        <w:rPr>
          <w:rFonts w:cstheme="minorHAnsi"/>
          <w:sz w:val="24"/>
          <w:szCs w:val="24"/>
        </w:rPr>
      </w:pPr>
      <w:r w:rsidRPr="00F94972">
        <w:rPr>
          <w:rFonts w:cstheme="minorHAnsi"/>
          <w:sz w:val="24"/>
          <w:szCs w:val="24"/>
        </w:rPr>
        <w:t xml:space="preserve">The Asia-Pacific excluding Japan (APEJ) region is expected to lead the global e-bike sales industry. </w:t>
      </w:r>
      <w:proofErr w:type="gramStart"/>
      <w:r w:rsidRPr="00F94972">
        <w:rPr>
          <w:rFonts w:cstheme="minorHAnsi"/>
          <w:sz w:val="24"/>
          <w:szCs w:val="24"/>
        </w:rPr>
        <w:t>However</w:t>
      </w:r>
      <w:proofErr w:type="gramEnd"/>
      <w:r w:rsidRPr="00F94972">
        <w:rPr>
          <w:rFonts w:cstheme="minorHAnsi"/>
          <w:sz w:val="24"/>
          <w:szCs w:val="24"/>
        </w:rPr>
        <w:t xml:space="preserve"> i</w:t>
      </w:r>
      <w:r w:rsidR="006E724C" w:rsidRPr="00F94972">
        <w:rPr>
          <w:rFonts w:cstheme="minorHAnsi"/>
          <w:sz w:val="24"/>
          <w:szCs w:val="24"/>
        </w:rPr>
        <w:t>n China, the world’s largest market within the annual sales of the e-bikes using SLA batteries, are expected to have their sales decline because of the market saturation and laws and bans on e-bikes use in large areas of major cities like Beijing, Shanghai, etc. However,</w:t>
      </w:r>
      <w:r w:rsidR="001704CA" w:rsidRPr="00F94972">
        <w:rPr>
          <w:rFonts w:cstheme="minorHAnsi"/>
          <w:sz w:val="24"/>
          <w:szCs w:val="24"/>
        </w:rPr>
        <w:t xml:space="preserve"> sales of</w:t>
      </w:r>
      <w:r w:rsidR="006E724C" w:rsidRPr="00F94972">
        <w:rPr>
          <w:rFonts w:cstheme="minorHAnsi"/>
          <w:sz w:val="24"/>
          <w:szCs w:val="24"/>
        </w:rPr>
        <w:t xml:space="preserve"> </w:t>
      </w:r>
      <w:r w:rsidR="001704CA" w:rsidRPr="00F94972">
        <w:rPr>
          <w:rFonts w:cstheme="minorHAnsi"/>
          <w:sz w:val="24"/>
          <w:szCs w:val="24"/>
        </w:rPr>
        <w:t>Li-ion e-bikes will grow significantly over the forecast period due to the strong support from the government towards the technology.</w:t>
      </w:r>
    </w:p>
    <w:p w14:paraId="661DC39F" w14:textId="1F6DBFBF" w:rsidR="00D02A77" w:rsidRPr="00F94972" w:rsidRDefault="00DA6168" w:rsidP="00F94972">
      <w:pPr>
        <w:spacing w:line="360" w:lineRule="auto"/>
        <w:rPr>
          <w:rFonts w:cstheme="minorHAnsi"/>
          <w:sz w:val="24"/>
          <w:szCs w:val="24"/>
        </w:rPr>
      </w:pPr>
      <w:r w:rsidRPr="00F94972">
        <w:rPr>
          <w:rFonts w:cstheme="minorHAnsi"/>
          <w:sz w:val="24"/>
          <w:szCs w:val="24"/>
        </w:rPr>
        <w:lastRenderedPageBreak/>
        <w:t>The Asia-Pacific excluding Japan (APEJ) region is expected to lead the global e-bike sales industry.</w:t>
      </w:r>
    </w:p>
    <w:p w14:paraId="7A1FCBD6" w14:textId="030EA3ED" w:rsidR="001704CA" w:rsidRPr="00F94972" w:rsidRDefault="001704CA" w:rsidP="00F94972">
      <w:pPr>
        <w:spacing w:line="360" w:lineRule="auto"/>
        <w:rPr>
          <w:rFonts w:cstheme="minorHAnsi"/>
          <w:sz w:val="24"/>
          <w:szCs w:val="24"/>
        </w:rPr>
      </w:pPr>
      <w:r w:rsidRPr="00F94972">
        <w:rPr>
          <w:rFonts w:cstheme="minorHAnsi"/>
          <w:sz w:val="24"/>
          <w:szCs w:val="24"/>
        </w:rPr>
        <w:t xml:space="preserve">In the other side of the world, Western Europe continues to achieve a steady significant growth in the e-bike industries, with Germany alone having </w:t>
      </w:r>
      <w:proofErr w:type="gramStart"/>
      <w:r w:rsidRPr="00F94972">
        <w:rPr>
          <w:rFonts w:cstheme="minorHAnsi"/>
          <w:sz w:val="24"/>
          <w:szCs w:val="24"/>
        </w:rPr>
        <w:t>535,000 unit</w:t>
      </w:r>
      <w:proofErr w:type="gramEnd"/>
      <w:r w:rsidRPr="00F94972">
        <w:rPr>
          <w:rFonts w:cstheme="minorHAnsi"/>
          <w:sz w:val="24"/>
          <w:szCs w:val="24"/>
        </w:rPr>
        <w:t xml:space="preserve"> sales in 2015, from 480,000 in 2014</w:t>
      </w:r>
      <w:r w:rsidR="00653094" w:rsidRPr="00F94972">
        <w:rPr>
          <w:rFonts w:cstheme="minorHAnsi"/>
          <w:sz w:val="24"/>
          <w:szCs w:val="24"/>
        </w:rPr>
        <w:t>. According to Navigant Research, the e-bike sales are expected to naturally replace bicycle purchases in Western Europe.</w:t>
      </w:r>
    </w:p>
    <w:p w14:paraId="63B37311" w14:textId="20856D83" w:rsidR="00653094" w:rsidRPr="00F94972" w:rsidRDefault="00653094" w:rsidP="00F94972">
      <w:pPr>
        <w:spacing w:line="360" w:lineRule="auto"/>
        <w:rPr>
          <w:rFonts w:cstheme="minorHAnsi"/>
          <w:sz w:val="24"/>
          <w:szCs w:val="24"/>
        </w:rPr>
      </w:pPr>
      <w:r w:rsidRPr="00F94972">
        <w:rPr>
          <w:rFonts w:cstheme="minorHAnsi"/>
          <w:sz w:val="24"/>
          <w:szCs w:val="24"/>
        </w:rPr>
        <w:t>In North America, the e-bike market was relatively flat in 2015 because of the low retail gasoline prices. Nevertheless, the United States still has a huge potential for e-bikes due to its enormous bicycle market, which is roughly 16 million sales per year.</w:t>
      </w:r>
    </w:p>
    <w:p w14:paraId="39C6FC87" w14:textId="21D29AE4" w:rsidR="00DA6168" w:rsidRPr="00F94972" w:rsidRDefault="00DA6168" w:rsidP="00F94972">
      <w:pPr>
        <w:spacing w:line="360" w:lineRule="auto"/>
        <w:rPr>
          <w:rFonts w:cstheme="minorHAnsi"/>
          <w:sz w:val="24"/>
          <w:szCs w:val="24"/>
        </w:rPr>
      </w:pPr>
    </w:p>
    <w:p w14:paraId="278CDA1F" w14:textId="666EB879" w:rsidR="00DA6168" w:rsidRPr="00F94972" w:rsidRDefault="00DA6168" w:rsidP="00F94972">
      <w:pPr>
        <w:spacing w:line="360" w:lineRule="auto"/>
        <w:rPr>
          <w:rFonts w:cstheme="minorHAnsi"/>
          <w:sz w:val="24"/>
          <w:szCs w:val="24"/>
        </w:rPr>
      </w:pPr>
      <w:r w:rsidRPr="00F94972">
        <w:rPr>
          <w:rFonts w:cstheme="minorHAnsi"/>
          <w:sz w:val="24"/>
          <w:szCs w:val="24"/>
        </w:rPr>
        <w:t xml:space="preserve">Overall, the global e-bike market is projected to grow at 0.4% compound annual growth rate, or CAGR, within the forecast period from 2016 until 2025. Compound annual growth rate is used to measure the growth over multiple time periods. The slow growing CAGR is </w:t>
      </w:r>
      <w:r w:rsidR="00CD4B0B" w:rsidRPr="00F94972">
        <w:rPr>
          <w:rFonts w:cstheme="minorHAnsi"/>
          <w:sz w:val="24"/>
          <w:szCs w:val="24"/>
        </w:rPr>
        <w:t>largely</w:t>
      </w:r>
      <w:r w:rsidRPr="00F94972">
        <w:rPr>
          <w:rFonts w:cstheme="minorHAnsi"/>
          <w:sz w:val="24"/>
          <w:szCs w:val="24"/>
        </w:rPr>
        <w:t xml:space="preserve"> due to China’s anticipated decline in annual unit sales, stated previously, at -0.8% CAGR. </w:t>
      </w:r>
      <w:r w:rsidR="00CD4B0B" w:rsidRPr="00F94972">
        <w:rPr>
          <w:rFonts w:cstheme="minorHAnsi"/>
          <w:sz w:val="24"/>
          <w:szCs w:val="24"/>
        </w:rPr>
        <w:t>Excluding</w:t>
      </w:r>
      <w:r w:rsidRPr="00F94972">
        <w:rPr>
          <w:rFonts w:cstheme="minorHAnsi"/>
          <w:sz w:val="24"/>
          <w:szCs w:val="24"/>
        </w:rPr>
        <w:t xml:space="preserve"> China however, the CAGR growth will be around 8.2%. </w:t>
      </w:r>
      <w:r w:rsidR="00CD4B0B" w:rsidRPr="00F94972">
        <w:rPr>
          <w:rFonts w:cstheme="minorHAnsi"/>
          <w:sz w:val="24"/>
          <w:szCs w:val="24"/>
        </w:rPr>
        <w:t xml:space="preserve">This shows that it is expected to achieve a strong growth, rising from 3.3 million annual unit sales in 2016 to nearly 6.8 million units by 2025. This growth is expected to occur mostly in Western Europe and within Asia Pacific, including Japan. </w:t>
      </w:r>
      <w:r w:rsidRPr="00F94972">
        <w:rPr>
          <w:rFonts w:cstheme="minorHAnsi"/>
          <w:sz w:val="24"/>
          <w:szCs w:val="24"/>
        </w:rPr>
        <w:t>The graph</w:t>
      </w:r>
      <w:r w:rsidR="00B921B0" w:rsidRPr="00F94972">
        <w:rPr>
          <w:rFonts w:cstheme="minorHAnsi"/>
          <w:sz w:val="24"/>
          <w:szCs w:val="24"/>
        </w:rPr>
        <w:t xml:space="preserve">s </w:t>
      </w:r>
      <w:r w:rsidRPr="00F94972">
        <w:rPr>
          <w:rFonts w:cstheme="minorHAnsi"/>
          <w:sz w:val="24"/>
          <w:szCs w:val="24"/>
        </w:rPr>
        <w:t>below (</w:t>
      </w:r>
      <w:r w:rsidRPr="00F94972">
        <w:rPr>
          <w:rFonts w:cstheme="minorHAnsi"/>
          <w:i/>
          <w:sz w:val="24"/>
          <w:szCs w:val="24"/>
        </w:rPr>
        <w:t>Figure 1</w:t>
      </w:r>
      <w:r w:rsidR="00B921B0" w:rsidRPr="00F94972">
        <w:rPr>
          <w:rFonts w:cstheme="minorHAnsi"/>
          <w:i/>
          <w:sz w:val="24"/>
          <w:szCs w:val="24"/>
        </w:rPr>
        <w:t>, Figure 2</w:t>
      </w:r>
      <w:r w:rsidRPr="00F94972">
        <w:rPr>
          <w:rFonts w:cstheme="minorHAnsi"/>
          <w:sz w:val="24"/>
          <w:szCs w:val="24"/>
        </w:rPr>
        <w:t xml:space="preserve">) shows the </w:t>
      </w:r>
      <w:r w:rsidR="00CD4B0B" w:rsidRPr="00F94972">
        <w:rPr>
          <w:rFonts w:cstheme="minorHAnsi"/>
          <w:sz w:val="24"/>
          <w:szCs w:val="24"/>
        </w:rPr>
        <w:t xml:space="preserve">annual e-bike sales </w:t>
      </w:r>
      <w:r w:rsidR="00B921B0" w:rsidRPr="00F94972">
        <w:rPr>
          <w:rFonts w:cstheme="minorHAnsi"/>
          <w:sz w:val="24"/>
          <w:szCs w:val="24"/>
        </w:rPr>
        <w:t>of different regions</w:t>
      </w:r>
      <w:r w:rsidR="00CD4B0B" w:rsidRPr="00F94972">
        <w:rPr>
          <w:rFonts w:cstheme="minorHAnsi"/>
          <w:sz w:val="24"/>
          <w:szCs w:val="24"/>
        </w:rPr>
        <w:t xml:space="preserve"> within the period of 2016 until 2025.</w:t>
      </w:r>
      <w:r w:rsidR="00B921B0" w:rsidRPr="00F94972">
        <w:rPr>
          <w:rFonts w:cstheme="minorHAnsi"/>
          <w:sz w:val="24"/>
          <w:szCs w:val="24"/>
        </w:rPr>
        <w:t xml:space="preserve"> </w:t>
      </w:r>
      <w:r w:rsidR="00B921B0" w:rsidRPr="00F94972">
        <w:rPr>
          <w:rFonts w:cstheme="minorHAnsi"/>
          <w:i/>
          <w:sz w:val="24"/>
          <w:szCs w:val="24"/>
        </w:rPr>
        <w:t>Figure 1</w:t>
      </w:r>
      <w:r w:rsidR="00B921B0" w:rsidRPr="00F94972">
        <w:rPr>
          <w:rFonts w:cstheme="minorHAnsi"/>
          <w:sz w:val="24"/>
          <w:szCs w:val="24"/>
        </w:rPr>
        <w:t xml:space="preserve"> shows the comparison of China with the Rest of the World, while </w:t>
      </w:r>
      <w:r w:rsidR="00B921B0" w:rsidRPr="00F94972">
        <w:rPr>
          <w:rFonts w:cstheme="minorHAnsi"/>
          <w:i/>
          <w:sz w:val="24"/>
          <w:szCs w:val="24"/>
        </w:rPr>
        <w:t>Figure 2</w:t>
      </w:r>
      <w:r w:rsidR="00B921B0" w:rsidRPr="00F94972">
        <w:rPr>
          <w:rFonts w:cstheme="minorHAnsi"/>
          <w:sz w:val="24"/>
          <w:szCs w:val="24"/>
        </w:rPr>
        <w:t xml:space="preserve"> shows mainly the countries that are highly investing the e-bike markets.</w:t>
      </w:r>
    </w:p>
    <w:p w14:paraId="45A34E6F" w14:textId="598FCFBD" w:rsidR="00CD4B0B" w:rsidRPr="00F94972" w:rsidRDefault="00CD4B0B" w:rsidP="00F94972">
      <w:pPr>
        <w:spacing w:line="360" w:lineRule="auto"/>
        <w:rPr>
          <w:rFonts w:cstheme="minorHAnsi"/>
          <w:sz w:val="24"/>
          <w:szCs w:val="24"/>
        </w:rPr>
      </w:pPr>
      <w:r w:rsidRPr="00F94972">
        <w:rPr>
          <w:rFonts w:cstheme="minorHAnsi"/>
          <w:noProof/>
          <w:sz w:val="24"/>
          <w:szCs w:val="24"/>
        </w:rPr>
        <w:lastRenderedPageBreak/>
        <w:drawing>
          <wp:inline distT="0" distB="0" distL="0" distR="0" wp14:anchorId="46B73325" wp14:editId="74D63A84">
            <wp:extent cx="5731510" cy="3284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4855"/>
                    </a:xfrm>
                    <a:prstGeom prst="rect">
                      <a:avLst/>
                    </a:prstGeom>
                  </pic:spPr>
                </pic:pic>
              </a:graphicData>
            </a:graphic>
          </wp:inline>
        </w:drawing>
      </w:r>
    </w:p>
    <w:p w14:paraId="7D21742D" w14:textId="67F4CBD2" w:rsidR="00CD4B0B" w:rsidRPr="00F94972" w:rsidRDefault="00CD4B0B" w:rsidP="00F94972">
      <w:pPr>
        <w:spacing w:line="360" w:lineRule="auto"/>
        <w:rPr>
          <w:rFonts w:cstheme="minorHAnsi"/>
          <w:sz w:val="24"/>
          <w:szCs w:val="24"/>
        </w:rPr>
      </w:pPr>
    </w:p>
    <w:p w14:paraId="58E13501" w14:textId="52BB3ECE" w:rsidR="00B921B0" w:rsidRPr="00F94972" w:rsidRDefault="00B921B0" w:rsidP="00F94972">
      <w:pPr>
        <w:spacing w:line="360" w:lineRule="auto"/>
        <w:rPr>
          <w:rFonts w:cstheme="minorHAnsi"/>
          <w:sz w:val="24"/>
          <w:szCs w:val="24"/>
        </w:rPr>
      </w:pPr>
      <w:r w:rsidRPr="00F94972">
        <w:rPr>
          <w:rFonts w:cstheme="minorHAnsi"/>
          <w:noProof/>
          <w:sz w:val="24"/>
          <w:szCs w:val="24"/>
        </w:rPr>
        <w:drawing>
          <wp:inline distT="0" distB="0" distL="0" distR="0" wp14:anchorId="74653DB3" wp14:editId="5F726EE7">
            <wp:extent cx="5731510" cy="3509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9010"/>
                    </a:xfrm>
                    <a:prstGeom prst="rect">
                      <a:avLst/>
                    </a:prstGeom>
                  </pic:spPr>
                </pic:pic>
              </a:graphicData>
            </a:graphic>
          </wp:inline>
        </w:drawing>
      </w:r>
    </w:p>
    <w:p w14:paraId="353C2117" w14:textId="6E7B1BBC" w:rsidR="00CD4B0B" w:rsidRPr="00F94972" w:rsidRDefault="00106BC7" w:rsidP="00F94972">
      <w:pPr>
        <w:spacing w:line="360" w:lineRule="auto"/>
        <w:rPr>
          <w:rFonts w:cstheme="minorHAnsi"/>
          <w:sz w:val="24"/>
          <w:szCs w:val="24"/>
        </w:rPr>
      </w:pPr>
      <w:r w:rsidRPr="00F94972">
        <w:rPr>
          <w:rFonts w:cstheme="minorHAnsi"/>
          <w:sz w:val="24"/>
          <w:szCs w:val="24"/>
        </w:rPr>
        <w:t>Running</w:t>
      </w:r>
      <w:r w:rsidR="00CD4B0B" w:rsidRPr="00F94972">
        <w:rPr>
          <w:rFonts w:cstheme="minorHAnsi"/>
          <w:sz w:val="24"/>
          <w:szCs w:val="24"/>
        </w:rPr>
        <w:t xml:space="preserve"> Costs</w:t>
      </w:r>
    </w:p>
    <w:p w14:paraId="08CD84E7" w14:textId="77777777" w:rsidR="00F94972" w:rsidRPr="00F94972" w:rsidRDefault="00CD4B0B" w:rsidP="00F94972">
      <w:pPr>
        <w:spacing w:before="240" w:line="360" w:lineRule="auto"/>
        <w:rPr>
          <w:rFonts w:cstheme="minorHAnsi"/>
          <w:sz w:val="24"/>
          <w:szCs w:val="24"/>
        </w:rPr>
      </w:pPr>
      <w:r w:rsidRPr="00F94972">
        <w:rPr>
          <w:rFonts w:cstheme="minorHAnsi"/>
          <w:sz w:val="24"/>
          <w:szCs w:val="24"/>
        </w:rPr>
        <w:t>The global e-bikes market research report has profiled many key companies in the market. Companies such as Robert Bosch GmbH, Panasonic Corp, Samsung SDI Co</w:t>
      </w:r>
      <w:r w:rsidR="00B921B0" w:rsidRPr="00F94972">
        <w:rPr>
          <w:rFonts w:cstheme="minorHAnsi"/>
          <w:sz w:val="24"/>
          <w:szCs w:val="24"/>
        </w:rPr>
        <w:t xml:space="preserve">., Ltd., and many </w:t>
      </w:r>
      <w:r w:rsidR="00B921B0" w:rsidRPr="00F94972">
        <w:rPr>
          <w:rFonts w:cstheme="minorHAnsi"/>
          <w:sz w:val="24"/>
          <w:szCs w:val="24"/>
        </w:rPr>
        <w:lastRenderedPageBreak/>
        <w:t>others are keenly interested in increasing their investments toward e-bikes. The list below is just some of the few companies already within the e-bike industry.</w:t>
      </w:r>
    </w:p>
    <w:p w14:paraId="512F6668" w14:textId="691C96AE" w:rsidR="00B921B0" w:rsidRPr="00F94972" w:rsidRDefault="00B921B0" w:rsidP="00F94972">
      <w:pPr>
        <w:spacing w:before="240" w:line="360" w:lineRule="auto"/>
        <w:rPr>
          <w:rFonts w:cstheme="minorHAnsi"/>
          <w:sz w:val="24"/>
          <w:szCs w:val="24"/>
        </w:rPr>
      </w:pPr>
      <w:r w:rsidRPr="00F94972">
        <w:rPr>
          <w:rFonts w:eastAsia="Times New Roman" w:cstheme="minorHAnsi"/>
          <w:b/>
          <w:bCs/>
          <w:color w:val="222222"/>
          <w:sz w:val="24"/>
          <w:szCs w:val="24"/>
          <w:lang w:eastAsia="en-GB"/>
        </w:rPr>
        <w:t>Company Profiles</w:t>
      </w:r>
    </w:p>
    <w:p w14:paraId="22788437"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Robert Bosch GmbH</w:t>
      </w:r>
    </w:p>
    <w:p w14:paraId="0475030F"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proofErr w:type="spellStart"/>
      <w:r w:rsidRPr="00F94972">
        <w:rPr>
          <w:rFonts w:eastAsia="Times New Roman" w:cstheme="minorHAnsi"/>
          <w:color w:val="222222"/>
          <w:sz w:val="24"/>
          <w:szCs w:val="24"/>
          <w:lang w:eastAsia="en-GB"/>
        </w:rPr>
        <w:t>Accell</w:t>
      </w:r>
      <w:proofErr w:type="spellEnd"/>
      <w:r w:rsidRPr="00F94972">
        <w:rPr>
          <w:rFonts w:eastAsia="Times New Roman" w:cstheme="minorHAnsi"/>
          <w:color w:val="222222"/>
          <w:sz w:val="24"/>
          <w:szCs w:val="24"/>
          <w:lang w:eastAsia="en-GB"/>
        </w:rPr>
        <w:t xml:space="preserve"> Group N.V.</w:t>
      </w:r>
    </w:p>
    <w:p w14:paraId="1802F818"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Giant Manufacturing Co., Ltd.</w:t>
      </w:r>
    </w:p>
    <w:p w14:paraId="44F4798D"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Derby Cycle Holding GmbH</w:t>
      </w:r>
    </w:p>
    <w:p w14:paraId="71E7DEFA"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 xml:space="preserve">Jiangsu </w:t>
      </w:r>
      <w:proofErr w:type="spellStart"/>
      <w:r w:rsidRPr="00F94972">
        <w:rPr>
          <w:rFonts w:eastAsia="Times New Roman" w:cstheme="minorHAnsi"/>
          <w:color w:val="222222"/>
          <w:sz w:val="24"/>
          <w:szCs w:val="24"/>
          <w:lang w:eastAsia="en-GB"/>
        </w:rPr>
        <w:t>Xinri</w:t>
      </w:r>
      <w:proofErr w:type="spellEnd"/>
      <w:r w:rsidRPr="00F94972">
        <w:rPr>
          <w:rFonts w:eastAsia="Times New Roman" w:cstheme="minorHAnsi"/>
          <w:color w:val="222222"/>
          <w:sz w:val="24"/>
          <w:szCs w:val="24"/>
          <w:lang w:eastAsia="en-GB"/>
        </w:rPr>
        <w:t xml:space="preserve"> E-Vehicle Co. Ltd</w:t>
      </w:r>
    </w:p>
    <w:p w14:paraId="676204F8"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Panasonic Corp.</w:t>
      </w:r>
    </w:p>
    <w:p w14:paraId="36658A84"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proofErr w:type="spellStart"/>
      <w:r w:rsidRPr="00F94972">
        <w:rPr>
          <w:rFonts w:eastAsia="Times New Roman" w:cstheme="minorHAnsi"/>
          <w:color w:val="222222"/>
          <w:sz w:val="24"/>
          <w:szCs w:val="24"/>
          <w:lang w:eastAsia="en-GB"/>
        </w:rPr>
        <w:t>Bionx</w:t>
      </w:r>
      <w:proofErr w:type="spellEnd"/>
      <w:r w:rsidRPr="00F94972">
        <w:rPr>
          <w:rFonts w:eastAsia="Times New Roman" w:cstheme="minorHAnsi"/>
          <w:color w:val="222222"/>
          <w:sz w:val="24"/>
          <w:szCs w:val="24"/>
          <w:lang w:eastAsia="en-GB"/>
        </w:rPr>
        <w:t xml:space="preserve"> International Corporation</w:t>
      </w:r>
    </w:p>
    <w:p w14:paraId="707FBD6C"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Mahindra &amp; Mahindra Ltd.</w:t>
      </w:r>
    </w:p>
    <w:p w14:paraId="6F92BF68"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Samsung SDI Co., Ltd.</w:t>
      </w:r>
    </w:p>
    <w:p w14:paraId="6BC5FDA0"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proofErr w:type="spellStart"/>
      <w:r w:rsidRPr="00F94972">
        <w:rPr>
          <w:rFonts w:eastAsia="Times New Roman" w:cstheme="minorHAnsi"/>
          <w:color w:val="222222"/>
          <w:sz w:val="24"/>
          <w:szCs w:val="24"/>
          <w:lang w:eastAsia="en-GB"/>
        </w:rPr>
        <w:t>Prodeco</w:t>
      </w:r>
      <w:proofErr w:type="spellEnd"/>
      <w:r w:rsidRPr="00F94972">
        <w:rPr>
          <w:rFonts w:eastAsia="Times New Roman" w:cstheme="minorHAnsi"/>
          <w:color w:val="222222"/>
          <w:sz w:val="24"/>
          <w:szCs w:val="24"/>
          <w:lang w:eastAsia="en-GB"/>
        </w:rPr>
        <w:t xml:space="preserve"> Technologies </w:t>
      </w:r>
      <w:proofErr w:type="spellStart"/>
      <w:r w:rsidRPr="00F94972">
        <w:rPr>
          <w:rFonts w:eastAsia="Times New Roman" w:cstheme="minorHAnsi"/>
          <w:color w:val="222222"/>
          <w:sz w:val="24"/>
          <w:szCs w:val="24"/>
          <w:lang w:eastAsia="en-GB"/>
        </w:rPr>
        <w:t>Llc</w:t>
      </w:r>
      <w:proofErr w:type="spellEnd"/>
    </w:p>
    <w:p w14:paraId="259FE547" w14:textId="77777777" w:rsidR="00B921B0" w:rsidRPr="00F94972" w:rsidRDefault="00B921B0" w:rsidP="00F94972">
      <w:pPr>
        <w:numPr>
          <w:ilvl w:val="0"/>
          <w:numId w:val="1"/>
        </w:numPr>
        <w:shd w:val="clear" w:color="auto" w:fill="FFFFFF"/>
        <w:spacing w:after="0" w:line="360" w:lineRule="auto"/>
        <w:ind w:left="450" w:right="150"/>
        <w:jc w:val="both"/>
        <w:rPr>
          <w:rFonts w:eastAsia="Times New Roman" w:cstheme="minorHAnsi"/>
          <w:color w:val="222222"/>
          <w:sz w:val="24"/>
          <w:szCs w:val="24"/>
          <w:lang w:eastAsia="en-GB"/>
        </w:rPr>
      </w:pPr>
      <w:r w:rsidRPr="00F94972">
        <w:rPr>
          <w:rFonts w:eastAsia="Times New Roman" w:cstheme="minorHAnsi"/>
          <w:color w:val="222222"/>
          <w:sz w:val="24"/>
          <w:szCs w:val="24"/>
          <w:lang w:eastAsia="en-GB"/>
        </w:rPr>
        <w:t>Others</w:t>
      </w:r>
    </w:p>
    <w:p w14:paraId="18C7EAB5" w14:textId="28D3947E" w:rsidR="00B921B0" w:rsidRPr="00106BC7" w:rsidRDefault="00F94972" w:rsidP="00F94972">
      <w:pPr>
        <w:spacing w:before="240" w:line="360" w:lineRule="auto"/>
        <w:rPr>
          <w:rFonts w:cstheme="minorHAnsi"/>
          <w:sz w:val="24"/>
          <w:szCs w:val="24"/>
        </w:rPr>
      </w:pPr>
      <w:r>
        <w:rPr>
          <w:rFonts w:cstheme="minorHAnsi"/>
          <w:sz w:val="24"/>
          <w:szCs w:val="24"/>
        </w:rPr>
        <w:t>From t</w:t>
      </w:r>
      <w:r w:rsidR="00106BC7">
        <w:rPr>
          <w:rFonts w:cstheme="minorHAnsi"/>
          <w:sz w:val="24"/>
          <w:szCs w:val="24"/>
        </w:rPr>
        <w:t>he researches of some of these companies</w:t>
      </w:r>
      <w:r>
        <w:rPr>
          <w:rFonts w:cstheme="minorHAnsi"/>
          <w:sz w:val="24"/>
          <w:szCs w:val="24"/>
        </w:rPr>
        <w:t xml:space="preserve">, </w:t>
      </w:r>
      <w:r w:rsidR="00106BC7">
        <w:rPr>
          <w:rFonts w:cstheme="minorHAnsi"/>
          <w:sz w:val="24"/>
          <w:szCs w:val="24"/>
        </w:rPr>
        <w:t>the costs of the different types of e-bikes are shown below (</w:t>
      </w:r>
      <w:r w:rsidR="00106BC7">
        <w:rPr>
          <w:rFonts w:cstheme="minorHAnsi"/>
          <w:i/>
          <w:sz w:val="24"/>
          <w:szCs w:val="24"/>
        </w:rPr>
        <w:t>table 1</w:t>
      </w:r>
      <w:r w:rsidR="00106BC7">
        <w:rPr>
          <w:rFonts w:cstheme="minorHAnsi"/>
          <w:sz w:val="24"/>
          <w:szCs w:val="24"/>
        </w:rPr>
        <w:t>)</w:t>
      </w:r>
    </w:p>
    <w:tbl>
      <w:tblPr>
        <w:tblW w:w="8670" w:type="dxa"/>
        <w:tblCellMar>
          <w:left w:w="0" w:type="dxa"/>
          <w:right w:w="0" w:type="dxa"/>
        </w:tblCellMar>
        <w:tblLook w:val="04A0" w:firstRow="1" w:lastRow="0" w:firstColumn="1" w:lastColumn="0" w:noHBand="0" w:noVBand="1"/>
      </w:tblPr>
      <w:tblGrid>
        <w:gridCol w:w="2890"/>
        <w:gridCol w:w="2890"/>
        <w:gridCol w:w="2890"/>
      </w:tblGrid>
      <w:tr w:rsidR="00106BC7" w:rsidRPr="00106BC7" w14:paraId="14B379F4" w14:textId="77777777" w:rsidTr="00106BC7">
        <w:trPr>
          <w:trHeight w:val="410"/>
        </w:trPr>
        <w:tc>
          <w:tcPr>
            <w:tcW w:w="289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75939D35" w14:textId="77777777" w:rsidR="00106BC7" w:rsidRPr="00106BC7" w:rsidRDefault="00106BC7" w:rsidP="00106BC7">
            <w:pPr>
              <w:spacing w:before="240" w:line="360" w:lineRule="auto"/>
              <w:rPr>
                <w:rFonts w:cstheme="minorHAnsi"/>
                <w:szCs w:val="24"/>
              </w:rPr>
            </w:pPr>
            <w:r w:rsidRPr="00106BC7">
              <w:rPr>
                <w:rFonts w:cstheme="minorHAnsi"/>
                <w:b/>
                <w:bCs/>
                <w:szCs w:val="24"/>
              </w:rPr>
              <w:t>Type of Electrical Bicycle</w:t>
            </w:r>
          </w:p>
        </w:tc>
        <w:tc>
          <w:tcPr>
            <w:tcW w:w="289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3B02E434" w14:textId="77777777" w:rsidR="00106BC7" w:rsidRPr="00106BC7" w:rsidRDefault="00106BC7" w:rsidP="00106BC7">
            <w:pPr>
              <w:spacing w:before="240" w:line="360" w:lineRule="auto"/>
              <w:rPr>
                <w:rFonts w:cstheme="minorHAnsi"/>
                <w:szCs w:val="24"/>
              </w:rPr>
            </w:pPr>
            <w:r w:rsidRPr="00106BC7">
              <w:rPr>
                <w:rFonts w:cstheme="minorHAnsi"/>
                <w:b/>
                <w:bCs/>
                <w:szCs w:val="24"/>
              </w:rPr>
              <w:t>Average Cost ($)</w:t>
            </w:r>
          </w:p>
        </w:tc>
        <w:tc>
          <w:tcPr>
            <w:tcW w:w="289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78F972BB" w14:textId="77777777" w:rsidR="00106BC7" w:rsidRPr="00106BC7" w:rsidRDefault="00106BC7" w:rsidP="00106BC7">
            <w:pPr>
              <w:spacing w:before="240" w:line="360" w:lineRule="auto"/>
              <w:rPr>
                <w:rFonts w:cstheme="minorHAnsi"/>
                <w:szCs w:val="24"/>
              </w:rPr>
            </w:pPr>
            <w:r w:rsidRPr="00106BC7">
              <w:rPr>
                <w:rFonts w:cstheme="minorHAnsi"/>
                <w:b/>
                <w:bCs/>
                <w:szCs w:val="24"/>
              </w:rPr>
              <w:t>Range ($)</w:t>
            </w:r>
          </w:p>
        </w:tc>
      </w:tr>
      <w:tr w:rsidR="00106BC7" w:rsidRPr="00106BC7" w14:paraId="01B7C605" w14:textId="77777777" w:rsidTr="00106BC7">
        <w:trPr>
          <w:trHeight w:val="410"/>
        </w:trPr>
        <w:tc>
          <w:tcPr>
            <w:tcW w:w="289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45A4F98" w14:textId="77777777" w:rsidR="00106BC7" w:rsidRPr="00106BC7" w:rsidRDefault="00106BC7" w:rsidP="00106BC7">
            <w:pPr>
              <w:spacing w:before="240" w:line="360" w:lineRule="auto"/>
              <w:rPr>
                <w:rFonts w:cstheme="minorHAnsi"/>
                <w:szCs w:val="24"/>
              </w:rPr>
            </w:pPr>
            <w:r w:rsidRPr="00106BC7">
              <w:rPr>
                <w:rFonts w:cstheme="minorHAnsi"/>
                <w:b/>
                <w:bCs/>
                <w:szCs w:val="24"/>
              </w:rPr>
              <w:t>Cruisers Bicycle</w:t>
            </w:r>
          </w:p>
        </w:tc>
        <w:tc>
          <w:tcPr>
            <w:tcW w:w="289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7AC5EC5" w14:textId="77777777" w:rsidR="00106BC7" w:rsidRPr="00106BC7" w:rsidRDefault="00106BC7" w:rsidP="00106BC7">
            <w:pPr>
              <w:spacing w:before="240" w:line="360" w:lineRule="auto"/>
              <w:rPr>
                <w:rFonts w:cstheme="minorHAnsi"/>
                <w:szCs w:val="24"/>
              </w:rPr>
            </w:pPr>
            <w:r w:rsidRPr="00106BC7">
              <w:rPr>
                <w:rFonts w:cstheme="minorHAnsi"/>
                <w:szCs w:val="24"/>
              </w:rPr>
              <w:t>3050</w:t>
            </w:r>
          </w:p>
        </w:tc>
        <w:tc>
          <w:tcPr>
            <w:tcW w:w="289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ABCA2A2" w14:textId="77777777" w:rsidR="00106BC7" w:rsidRPr="00106BC7" w:rsidRDefault="00106BC7" w:rsidP="00106BC7">
            <w:pPr>
              <w:spacing w:before="240" w:line="360" w:lineRule="auto"/>
              <w:rPr>
                <w:rFonts w:cstheme="minorHAnsi"/>
                <w:szCs w:val="24"/>
              </w:rPr>
            </w:pPr>
            <w:r w:rsidRPr="00106BC7">
              <w:rPr>
                <w:rFonts w:cstheme="minorHAnsi"/>
                <w:szCs w:val="24"/>
              </w:rPr>
              <w:t>1500 – 7900</w:t>
            </w:r>
          </w:p>
        </w:tc>
      </w:tr>
      <w:tr w:rsidR="00106BC7" w:rsidRPr="00106BC7" w14:paraId="23C80E17" w14:textId="77777777" w:rsidTr="00106BC7">
        <w:trPr>
          <w:trHeight w:val="410"/>
        </w:trPr>
        <w:tc>
          <w:tcPr>
            <w:tcW w:w="289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23464E5" w14:textId="77777777" w:rsidR="00106BC7" w:rsidRPr="00106BC7" w:rsidRDefault="00106BC7" w:rsidP="00106BC7">
            <w:pPr>
              <w:spacing w:before="240" w:line="360" w:lineRule="auto"/>
              <w:rPr>
                <w:rFonts w:cstheme="minorHAnsi"/>
                <w:szCs w:val="24"/>
              </w:rPr>
            </w:pPr>
            <w:r w:rsidRPr="00106BC7">
              <w:rPr>
                <w:rFonts w:cstheme="minorHAnsi"/>
                <w:b/>
                <w:bCs/>
                <w:szCs w:val="24"/>
              </w:rPr>
              <w:t>Mountain Bicycle</w:t>
            </w:r>
          </w:p>
        </w:tc>
        <w:tc>
          <w:tcPr>
            <w:tcW w:w="28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F0F45B7" w14:textId="77777777" w:rsidR="00106BC7" w:rsidRPr="00106BC7" w:rsidRDefault="00106BC7" w:rsidP="00106BC7">
            <w:pPr>
              <w:spacing w:before="240" w:line="360" w:lineRule="auto"/>
              <w:rPr>
                <w:rFonts w:cstheme="minorHAnsi"/>
                <w:szCs w:val="24"/>
              </w:rPr>
            </w:pPr>
            <w:r w:rsidRPr="00106BC7">
              <w:rPr>
                <w:rFonts w:cstheme="minorHAnsi"/>
                <w:szCs w:val="24"/>
              </w:rPr>
              <w:t>4150</w:t>
            </w:r>
          </w:p>
        </w:tc>
        <w:tc>
          <w:tcPr>
            <w:tcW w:w="28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7F24182" w14:textId="77777777" w:rsidR="00106BC7" w:rsidRPr="00106BC7" w:rsidRDefault="00106BC7" w:rsidP="00106BC7">
            <w:pPr>
              <w:spacing w:before="240" w:line="360" w:lineRule="auto"/>
              <w:rPr>
                <w:rFonts w:cstheme="minorHAnsi"/>
                <w:szCs w:val="24"/>
              </w:rPr>
            </w:pPr>
            <w:r w:rsidRPr="00106BC7">
              <w:rPr>
                <w:rFonts w:cstheme="minorHAnsi"/>
                <w:szCs w:val="24"/>
              </w:rPr>
              <w:t>1200 – 9000</w:t>
            </w:r>
          </w:p>
        </w:tc>
      </w:tr>
      <w:tr w:rsidR="00106BC7" w:rsidRPr="00106BC7" w14:paraId="5DDCB9C8" w14:textId="77777777" w:rsidTr="00106BC7">
        <w:trPr>
          <w:trHeight w:val="410"/>
        </w:trPr>
        <w:tc>
          <w:tcPr>
            <w:tcW w:w="289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CD1578E" w14:textId="77777777" w:rsidR="00106BC7" w:rsidRPr="00106BC7" w:rsidRDefault="00106BC7" w:rsidP="00106BC7">
            <w:pPr>
              <w:spacing w:before="240" w:line="360" w:lineRule="auto"/>
              <w:rPr>
                <w:rFonts w:cstheme="minorHAnsi"/>
                <w:szCs w:val="24"/>
              </w:rPr>
            </w:pPr>
            <w:r w:rsidRPr="00106BC7">
              <w:rPr>
                <w:rFonts w:cstheme="minorHAnsi"/>
                <w:b/>
                <w:bCs/>
                <w:szCs w:val="24"/>
              </w:rPr>
              <w:t>Road Bicycle</w:t>
            </w:r>
          </w:p>
        </w:tc>
        <w:tc>
          <w:tcPr>
            <w:tcW w:w="28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618BC34" w14:textId="77777777" w:rsidR="00106BC7" w:rsidRPr="00106BC7" w:rsidRDefault="00106BC7" w:rsidP="00106BC7">
            <w:pPr>
              <w:spacing w:before="240" w:line="360" w:lineRule="auto"/>
              <w:rPr>
                <w:rFonts w:cstheme="minorHAnsi"/>
                <w:szCs w:val="24"/>
              </w:rPr>
            </w:pPr>
            <w:r w:rsidRPr="00106BC7">
              <w:rPr>
                <w:rFonts w:cstheme="minorHAnsi"/>
                <w:szCs w:val="24"/>
              </w:rPr>
              <w:t>4750</w:t>
            </w:r>
          </w:p>
        </w:tc>
        <w:tc>
          <w:tcPr>
            <w:tcW w:w="28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DF8D3A8" w14:textId="77777777" w:rsidR="00106BC7" w:rsidRPr="00106BC7" w:rsidRDefault="00106BC7" w:rsidP="00106BC7">
            <w:pPr>
              <w:spacing w:before="240" w:line="360" w:lineRule="auto"/>
              <w:rPr>
                <w:rFonts w:cstheme="minorHAnsi"/>
                <w:szCs w:val="24"/>
              </w:rPr>
            </w:pPr>
            <w:r w:rsidRPr="00106BC7">
              <w:rPr>
                <w:rFonts w:cstheme="minorHAnsi"/>
                <w:szCs w:val="24"/>
              </w:rPr>
              <w:t>1900 – 8000</w:t>
            </w:r>
          </w:p>
        </w:tc>
      </w:tr>
      <w:tr w:rsidR="00106BC7" w:rsidRPr="00106BC7" w14:paraId="3CB8BE6D" w14:textId="77777777" w:rsidTr="00106BC7">
        <w:trPr>
          <w:trHeight w:val="410"/>
        </w:trPr>
        <w:tc>
          <w:tcPr>
            <w:tcW w:w="289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7D0211E" w14:textId="77777777" w:rsidR="00106BC7" w:rsidRPr="00106BC7" w:rsidRDefault="00106BC7" w:rsidP="00106BC7">
            <w:pPr>
              <w:spacing w:before="240" w:line="360" w:lineRule="auto"/>
              <w:rPr>
                <w:rFonts w:cstheme="minorHAnsi"/>
                <w:szCs w:val="24"/>
              </w:rPr>
            </w:pPr>
            <w:r w:rsidRPr="00106BC7">
              <w:rPr>
                <w:rFonts w:cstheme="minorHAnsi"/>
                <w:b/>
                <w:bCs/>
                <w:szCs w:val="24"/>
              </w:rPr>
              <w:t>City Bicycle</w:t>
            </w:r>
          </w:p>
        </w:tc>
        <w:tc>
          <w:tcPr>
            <w:tcW w:w="28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6937895" w14:textId="77777777" w:rsidR="00106BC7" w:rsidRPr="00106BC7" w:rsidRDefault="00106BC7" w:rsidP="00106BC7">
            <w:pPr>
              <w:spacing w:before="240" w:line="360" w:lineRule="auto"/>
              <w:rPr>
                <w:rFonts w:cstheme="minorHAnsi"/>
                <w:szCs w:val="24"/>
              </w:rPr>
            </w:pPr>
            <w:r w:rsidRPr="00106BC7">
              <w:rPr>
                <w:rFonts w:cstheme="minorHAnsi"/>
                <w:szCs w:val="24"/>
              </w:rPr>
              <w:t>2800</w:t>
            </w:r>
          </w:p>
        </w:tc>
        <w:tc>
          <w:tcPr>
            <w:tcW w:w="28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285A932" w14:textId="77777777" w:rsidR="00106BC7" w:rsidRPr="00106BC7" w:rsidRDefault="00106BC7" w:rsidP="00106BC7">
            <w:pPr>
              <w:spacing w:before="240" w:line="360" w:lineRule="auto"/>
              <w:rPr>
                <w:rFonts w:cstheme="minorHAnsi"/>
                <w:szCs w:val="24"/>
              </w:rPr>
            </w:pPr>
            <w:r w:rsidRPr="00106BC7">
              <w:rPr>
                <w:rFonts w:cstheme="minorHAnsi"/>
                <w:szCs w:val="24"/>
              </w:rPr>
              <w:t>1200 – 8000</w:t>
            </w:r>
          </w:p>
        </w:tc>
      </w:tr>
      <w:tr w:rsidR="00106BC7" w:rsidRPr="00106BC7" w14:paraId="3DC1FF87" w14:textId="77777777" w:rsidTr="00106BC7">
        <w:trPr>
          <w:trHeight w:val="410"/>
        </w:trPr>
        <w:tc>
          <w:tcPr>
            <w:tcW w:w="289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66E3E95" w14:textId="77777777" w:rsidR="00106BC7" w:rsidRPr="00106BC7" w:rsidRDefault="00106BC7" w:rsidP="00106BC7">
            <w:pPr>
              <w:spacing w:before="240" w:line="360" w:lineRule="auto"/>
              <w:rPr>
                <w:rFonts w:cstheme="minorHAnsi"/>
                <w:szCs w:val="24"/>
              </w:rPr>
            </w:pPr>
            <w:r w:rsidRPr="00106BC7">
              <w:rPr>
                <w:rFonts w:cstheme="minorHAnsi"/>
                <w:b/>
                <w:bCs/>
                <w:szCs w:val="24"/>
              </w:rPr>
              <w:t>Folding Bicycle</w:t>
            </w:r>
          </w:p>
        </w:tc>
        <w:tc>
          <w:tcPr>
            <w:tcW w:w="28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E638B95" w14:textId="77777777" w:rsidR="00106BC7" w:rsidRPr="00106BC7" w:rsidRDefault="00106BC7" w:rsidP="00106BC7">
            <w:pPr>
              <w:spacing w:before="240" w:line="360" w:lineRule="auto"/>
              <w:rPr>
                <w:rFonts w:cstheme="minorHAnsi"/>
                <w:szCs w:val="24"/>
              </w:rPr>
            </w:pPr>
            <w:r w:rsidRPr="00106BC7">
              <w:rPr>
                <w:rFonts w:cstheme="minorHAnsi"/>
                <w:szCs w:val="24"/>
              </w:rPr>
              <w:t>1750</w:t>
            </w:r>
          </w:p>
        </w:tc>
        <w:tc>
          <w:tcPr>
            <w:tcW w:w="28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BEEA878" w14:textId="77777777" w:rsidR="00106BC7" w:rsidRPr="00106BC7" w:rsidRDefault="00106BC7" w:rsidP="00106BC7">
            <w:pPr>
              <w:spacing w:before="240" w:line="360" w:lineRule="auto"/>
              <w:rPr>
                <w:rFonts w:cstheme="minorHAnsi"/>
                <w:szCs w:val="24"/>
              </w:rPr>
            </w:pPr>
            <w:r w:rsidRPr="00106BC7">
              <w:rPr>
                <w:rFonts w:cstheme="minorHAnsi"/>
                <w:szCs w:val="24"/>
              </w:rPr>
              <w:t>700 – 5000</w:t>
            </w:r>
          </w:p>
        </w:tc>
      </w:tr>
      <w:tr w:rsidR="00106BC7" w:rsidRPr="00106BC7" w14:paraId="2789289F" w14:textId="77777777" w:rsidTr="00106BC7">
        <w:trPr>
          <w:trHeight w:val="410"/>
        </w:trPr>
        <w:tc>
          <w:tcPr>
            <w:tcW w:w="289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674A24D" w14:textId="77777777" w:rsidR="00106BC7" w:rsidRPr="00106BC7" w:rsidRDefault="00106BC7" w:rsidP="00106BC7">
            <w:pPr>
              <w:spacing w:before="240" w:line="360" w:lineRule="auto"/>
              <w:rPr>
                <w:rFonts w:cstheme="minorHAnsi"/>
                <w:szCs w:val="24"/>
              </w:rPr>
            </w:pPr>
            <w:r w:rsidRPr="00106BC7">
              <w:rPr>
                <w:rFonts w:cstheme="minorHAnsi"/>
                <w:b/>
                <w:bCs/>
                <w:szCs w:val="24"/>
              </w:rPr>
              <w:t>Cargo Bicycle</w:t>
            </w:r>
          </w:p>
        </w:tc>
        <w:tc>
          <w:tcPr>
            <w:tcW w:w="28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3835005" w14:textId="77777777" w:rsidR="00106BC7" w:rsidRPr="00106BC7" w:rsidRDefault="00106BC7" w:rsidP="00106BC7">
            <w:pPr>
              <w:spacing w:before="240" w:line="360" w:lineRule="auto"/>
              <w:rPr>
                <w:rFonts w:cstheme="minorHAnsi"/>
                <w:szCs w:val="24"/>
              </w:rPr>
            </w:pPr>
            <w:r w:rsidRPr="00106BC7">
              <w:rPr>
                <w:rFonts w:cstheme="minorHAnsi"/>
                <w:szCs w:val="24"/>
              </w:rPr>
              <w:t>3300</w:t>
            </w:r>
          </w:p>
        </w:tc>
        <w:tc>
          <w:tcPr>
            <w:tcW w:w="28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FA1A6CE" w14:textId="77777777" w:rsidR="00106BC7" w:rsidRPr="00106BC7" w:rsidRDefault="00106BC7" w:rsidP="00106BC7">
            <w:pPr>
              <w:spacing w:before="240" w:line="360" w:lineRule="auto"/>
              <w:rPr>
                <w:rFonts w:cstheme="minorHAnsi"/>
                <w:szCs w:val="24"/>
              </w:rPr>
            </w:pPr>
            <w:r w:rsidRPr="00106BC7">
              <w:rPr>
                <w:rFonts w:cstheme="minorHAnsi"/>
                <w:szCs w:val="24"/>
              </w:rPr>
              <w:t>1700- 6000</w:t>
            </w:r>
          </w:p>
        </w:tc>
      </w:tr>
    </w:tbl>
    <w:p w14:paraId="525384C8" w14:textId="01C463AD" w:rsidR="00106BC7" w:rsidRPr="00F94972" w:rsidRDefault="00106BC7" w:rsidP="00F94972">
      <w:pPr>
        <w:spacing w:before="240" w:line="360" w:lineRule="auto"/>
        <w:rPr>
          <w:rFonts w:cstheme="minorHAnsi"/>
          <w:sz w:val="24"/>
          <w:szCs w:val="24"/>
        </w:rPr>
      </w:pPr>
      <w:r>
        <w:rPr>
          <w:rFonts w:cstheme="minorHAnsi"/>
          <w:sz w:val="24"/>
          <w:szCs w:val="24"/>
        </w:rPr>
        <w:lastRenderedPageBreak/>
        <w:t>From the table above, it is shown that the average cost of the city e-bike within the different industries is $2800 with a range of $1200 to $8000, fitting the range category of our e-bike, later calculated below.</w:t>
      </w:r>
    </w:p>
    <w:sectPr w:rsidR="00106BC7" w:rsidRPr="00F94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60ED6"/>
    <w:multiLevelType w:val="multilevel"/>
    <w:tmpl w:val="B48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D9"/>
    <w:rsid w:val="00106BC7"/>
    <w:rsid w:val="001704CA"/>
    <w:rsid w:val="00175057"/>
    <w:rsid w:val="004825D9"/>
    <w:rsid w:val="00653094"/>
    <w:rsid w:val="00684F95"/>
    <w:rsid w:val="006E724C"/>
    <w:rsid w:val="00B921B0"/>
    <w:rsid w:val="00CD4B0B"/>
    <w:rsid w:val="00D02A77"/>
    <w:rsid w:val="00DA6168"/>
    <w:rsid w:val="00DD4627"/>
    <w:rsid w:val="00E60311"/>
    <w:rsid w:val="00F94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45F4"/>
  <w15:chartTrackingRefBased/>
  <w15:docId w15:val="{DFBD5DFE-BA1D-4F2C-A086-EC1D5C81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8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Colin</dc:creator>
  <cp:keywords/>
  <dc:description/>
  <cp:lastModifiedBy>William Colin</cp:lastModifiedBy>
  <cp:revision>3</cp:revision>
  <dcterms:created xsi:type="dcterms:W3CDTF">2018-04-02T02:26:00Z</dcterms:created>
  <dcterms:modified xsi:type="dcterms:W3CDTF">2018-04-10T14:42:00Z</dcterms:modified>
</cp:coreProperties>
</file>