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ADR - NPI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Até SPRINT 2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f125omo5s22a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br w:type="textWrapping"/>
        <w:t xml:space="preserve">ADR 001: Arquitetura de Monolito Modular</w:t>
      </w:r>
    </w:p>
    <w:p w:rsidR="00000000" w:rsidDel="00000000" w:rsidP="00000000" w:rsidRDefault="00000000" w:rsidRPr="00000000" w14:paraId="00000004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Aceito</w:t>
      </w:r>
    </w:p>
    <w:p w:rsidR="00000000" w:rsidDel="00000000" w:rsidP="00000000" w:rsidRDefault="00000000" w:rsidRPr="00000000" w14:paraId="00000005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Data:</w:t>
      </w:r>
      <w:r w:rsidDel="00000000" w:rsidR="00000000" w:rsidRPr="00000000">
        <w:rPr>
          <w:rtl w:val="0"/>
        </w:rPr>
        <w:t xml:space="preserve"> 30/04/2026</w:t>
      </w:r>
    </w:p>
    <w:p w:rsidR="00000000" w:rsidDel="00000000" w:rsidP="00000000" w:rsidRDefault="00000000" w:rsidRPr="00000000" w14:paraId="00000006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Contexto:</w:t>
      </w:r>
      <w:r w:rsidDel="00000000" w:rsidR="00000000" w:rsidRPr="00000000">
        <w:rPr>
          <w:rtl w:val="0"/>
        </w:rPr>
        <w:t xml:space="preserve"> Precisávamos decidir a estrutura organizacional do sistema CliniDesk. Haviam duas opções: Microserviços ou Monolito.</w:t>
      </w:r>
    </w:p>
    <w:p w:rsidR="00000000" w:rsidDel="00000000" w:rsidP="00000000" w:rsidRDefault="00000000" w:rsidRPr="00000000" w14:paraId="00000007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Decisão: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Optamos por uma Arquitetura de Monolito, onde o Backend (Node/Express) gerencia todas as regras de negócio em um único serviço, e o Frontend (React) consome essa API.</w:t>
      </w:r>
    </w:p>
    <w:p w:rsidR="00000000" w:rsidDel="00000000" w:rsidP="00000000" w:rsidRDefault="00000000" w:rsidRPr="00000000" w14:paraId="00000008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Justificativa:</w:t>
      </w:r>
      <w:r w:rsidDel="00000000" w:rsidR="00000000" w:rsidRPr="00000000">
        <w:rPr>
          <w:rtl w:val="0"/>
        </w:rPr>
        <w:t xml:space="preserve"> </w:t>
        <w:br w:type="textWrapping"/>
        <w:t xml:space="preserve">1. </w:t>
      </w:r>
      <w:r w:rsidDel="00000000" w:rsidR="00000000" w:rsidRPr="00000000">
        <w:rPr>
          <w:b w:val="1"/>
          <w:bCs w:val="1"/>
          <w:rtl w:val="0"/>
        </w:rPr>
        <w:t xml:space="preserve">Redução de Complexidade:</w:t>
      </w:r>
      <w:r w:rsidDel="00000000" w:rsidR="00000000" w:rsidRPr="00000000">
        <w:rPr>
          <w:rtl w:val="0"/>
        </w:rPr>
        <w:t xml:space="preserve"> A</w:t>
      </w:r>
      <w:r w:rsidDel="00000000" w:rsidR="00000000" w:rsidRPr="00000000">
        <w:rPr>
          <w:rtl w:val="0"/>
        </w:rPr>
        <w:t xml:space="preserve"> comunicação entre múltiplos serviços (microserviços) aumentaria drasticamente o tempo de entrega. 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2. Custo de Infraestrutura:</w:t>
      </w:r>
      <w:r w:rsidDel="00000000" w:rsidR="00000000" w:rsidRPr="00000000">
        <w:rPr>
          <w:rtl w:val="0"/>
        </w:rPr>
        <w:t xml:space="preserve"> Um monolito é mais barato e simples de hospedar para um MVP de clínica local. </w:t>
        <w:br w:type="textWrapping"/>
        <w:t xml:space="preserve">3. </w:t>
      </w:r>
      <w:r w:rsidDel="00000000" w:rsidR="00000000" w:rsidRPr="00000000">
        <w:rPr>
          <w:b w:val="1"/>
          <w:bCs w:val="1"/>
          <w:rtl w:val="0"/>
        </w:rPr>
        <w:t xml:space="preserve">Consistência de Dados:</w:t>
      </w:r>
      <w:r w:rsidDel="00000000" w:rsidR="00000000" w:rsidRPr="00000000">
        <w:rPr>
          <w:rtl w:val="0"/>
        </w:rPr>
        <w:t xml:space="preserve"> Facilita transações atômicas e garante que os dados dos pacientes e usuários estejam sempre sincronizados.</w:t>
      </w:r>
    </w:p>
    <w:p w:rsidR="00000000" w:rsidDel="00000000" w:rsidP="00000000" w:rsidRDefault="00000000" w:rsidRPr="00000000" w14:paraId="00000009">
      <w:pPr>
        <w:spacing w:after="240" w:befor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Consequência:</w:t>
      </w:r>
    </w:p>
    <w:p w:rsidR="00000000" w:rsidDel="00000000" w:rsidP="00000000" w:rsidRDefault="00000000" w:rsidRPr="00000000" w14:paraId="0000000A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(Positivo)</w:t>
      </w:r>
    </w:p>
    <w:p w:rsidR="00000000" w:rsidDel="00000000" w:rsidP="00000000" w:rsidRDefault="00000000" w:rsidRPr="00000000" w14:paraId="0000000B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​Escalabilidade de Módulos Críticos:</w:t>
      </w:r>
      <w:r w:rsidDel="00000000" w:rsidR="00000000" w:rsidRPr="00000000">
        <w:rPr>
          <w:rtl w:val="0"/>
        </w:rPr>
        <w:t xml:space="preserve"> Módulos como o de "Agendamento" ou "Prontuário Eletrônico" podem ser escalados de forma independente caso o CliniDesk sofra um pico de acessos em horários comerciais.</w:t>
      </w:r>
    </w:p>
    <w:p w:rsidR="00000000" w:rsidDel="00000000" w:rsidP="00000000" w:rsidRDefault="00000000" w:rsidRPr="00000000" w14:paraId="0000000C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q9g687hqowao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ADR 002: Uso de Banco de Dados NoSQL (MongoDB)</w:t>
      </w:r>
    </w:p>
    <w:p w:rsidR="00000000" w:rsidDel="00000000" w:rsidP="00000000" w:rsidRDefault="00000000" w:rsidRPr="00000000" w14:paraId="0000000E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Aceito</w:t>
      </w:r>
    </w:p>
    <w:p w:rsidR="00000000" w:rsidDel="00000000" w:rsidP="00000000" w:rsidRDefault="00000000" w:rsidRPr="00000000" w14:paraId="0000000F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Data:</w:t>
      </w:r>
      <w:r w:rsidDel="00000000" w:rsidR="00000000" w:rsidRPr="00000000">
        <w:rPr>
          <w:rtl w:val="0"/>
        </w:rPr>
        <w:t xml:space="preserve"> 30/04/2026</w:t>
      </w:r>
    </w:p>
    <w:p w:rsidR="00000000" w:rsidDel="00000000" w:rsidP="00000000" w:rsidRDefault="00000000" w:rsidRPr="00000000" w14:paraId="00000010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Contexto:</w:t>
      </w:r>
      <w:r w:rsidDel="00000000" w:rsidR="00000000" w:rsidRPr="00000000">
        <w:rPr>
          <w:rtl w:val="0"/>
        </w:rPr>
        <w:t xml:space="preserve"> O sistema precisa armazenar agendamentos que podem sofrer alterações frequentes de estrutura (novos campos de observação, tipos de convênio, etc).</w:t>
      </w:r>
    </w:p>
    <w:p w:rsidR="00000000" w:rsidDel="00000000" w:rsidP="00000000" w:rsidRDefault="00000000" w:rsidRPr="00000000" w14:paraId="00000011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Decisão:</w:t>
      </w:r>
      <w:r w:rsidDel="00000000" w:rsidR="00000000" w:rsidRPr="00000000">
        <w:rPr>
          <w:rtl w:val="0"/>
        </w:rPr>
        <w:t xml:space="preserve"> Utilizar o </w:t>
      </w:r>
      <w:r w:rsidDel="00000000" w:rsidR="00000000" w:rsidRPr="00000000">
        <w:rPr>
          <w:b w:val="1"/>
          <w:bCs w:val="1"/>
          <w:rtl w:val="0"/>
        </w:rPr>
        <w:t xml:space="preserve">MongoDB</w:t>
      </w:r>
      <w:r w:rsidDel="00000000" w:rsidR="00000000" w:rsidRPr="00000000">
        <w:rPr>
          <w:rtl w:val="0"/>
        </w:rPr>
        <w:t xml:space="preserve"> como banco de dados  principal.</w:t>
      </w:r>
    </w:p>
    <w:p w:rsidR="00000000" w:rsidDel="00000000" w:rsidP="00000000" w:rsidRDefault="00000000" w:rsidRPr="00000000" w14:paraId="00000012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Justificativa:</w:t>
      </w:r>
      <w:r w:rsidDel="00000000" w:rsidR="00000000" w:rsidRPr="00000000">
        <w:rPr>
          <w:rtl w:val="0"/>
        </w:rPr>
        <w:t xml:space="preserve"> </w:t>
        <w:br w:type="textWrapping"/>
        <w:t xml:space="preserve">1. </w:t>
      </w:r>
      <w:r w:rsidDel="00000000" w:rsidR="00000000" w:rsidRPr="00000000">
        <w:rPr>
          <w:b w:val="1"/>
          <w:bCs w:val="1"/>
          <w:rtl w:val="0"/>
        </w:rPr>
        <w:t xml:space="preserve">Esquema Flexível (Schema-less):</w:t>
      </w:r>
      <w:r w:rsidDel="00000000" w:rsidR="00000000" w:rsidRPr="00000000">
        <w:rPr>
          <w:rtl w:val="0"/>
        </w:rPr>
        <w:t xml:space="preserve"> Como o projeto é um MVP para o NPI, os requisitos mudam rápido. O MongoDB permite adicionar campos sem a necessidade de "migrations" complexas como no SQL. </w:t>
        <w:br w:type="textWrapping"/>
        <w:t xml:space="preserve">2. </w:t>
      </w:r>
      <w:r w:rsidDel="00000000" w:rsidR="00000000" w:rsidRPr="00000000">
        <w:rPr>
          <w:b w:val="1"/>
          <w:bCs w:val="1"/>
          <w:rtl w:val="0"/>
        </w:rPr>
        <w:t xml:space="preserve">Produtividade da Equipe:</w:t>
      </w:r>
      <w:r w:rsidDel="00000000" w:rsidR="00000000" w:rsidRPr="00000000">
        <w:rPr>
          <w:rtl w:val="0"/>
        </w:rPr>
        <w:t xml:space="preserve"> O formato de documentos (BSON) é muito similar ao JSON utilizado no JavaScript, diminuindo a curva de aprendizado. </w:t>
        <w:br w:type="textWrapping"/>
        <w:t xml:space="preserve">3. </w:t>
      </w:r>
      <w:r w:rsidDel="00000000" w:rsidR="00000000" w:rsidRPr="00000000">
        <w:rPr>
          <w:b w:val="1"/>
          <w:bCs w:val="1"/>
          <w:rtl w:val="0"/>
        </w:rPr>
        <w:t xml:space="preserve">Integração Nativa:</w:t>
      </w:r>
      <w:r w:rsidDel="00000000" w:rsidR="00000000" w:rsidRPr="00000000">
        <w:rPr>
          <w:rtl w:val="0"/>
        </w:rPr>
        <w:t xml:space="preserve"> A stack Node + Mongoose + MongoDB é extremamente estável e bem documentada.</w:t>
      </w:r>
    </w:p>
    <w:p w:rsidR="00000000" w:rsidDel="00000000" w:rsidP="00000000" w:rsidRDefault="00000000" w:rsidRPr="00000000" w14:paraId="00000013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Consequência:</w:t>
      </w:r>
      <w:r w:rsidDel="00000000" w:rsidR="00000000" w:rsidRPr="00000000">
        <w:rPr>
          <w:rtl w:val="0"/>
        </w:rPr>
        <w:br w:type="textWrapping"/>
        <w:t xml:space="preserve">(Positiva)</w:t>
      </w:r>
    </w:p>
    <w:p w:rsidR="00000000" w:rsidDel="00000000" w:rsidP="00000000" w:rsidRDefault="00000000" w:rsidRPr="00000000" w14:paraId="00000014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Conformidade ACID: Essencial para o contexto clínico, garantindo que atualizações em prontuários ou registros de consultas sejam processadas de forma segura, sem perda de dados em caso de falhas.</w:t>
      </w:r>
    </w:p>
    <w:p w:rsidR="00000000" w:rsidDel="00000000" w:rsidP="00000000" w:rsidRDefault="00000000" w:rsidRPr="00000000" w14:paraId="00000015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​Consultas Complexas (Relatórios): Facilita a geração de relatórios gerenciais e estatísticos (ex: "quantas consultas o médico X realizou no mês Y") usando JOINs de forma performática.</w:t>
      </w:r>
    </w:p>
    <w:p w:rsidR="00000000" w:rsidDel="00000000" w:rsidP="00000000" w:rsidRDefault="00000000" w:rsidRPr="00000000" w14:paraId="00000016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(negativo)</w:t>
      </w:r>
    </w:p>
    <w:p w:rsidR="00000000" w:rsidDel="00000000" w:rsidP="00000000" w:rsidRDefault="00000000" w:rsidRPr="00000000" w14:paraId="00000018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Esquema Rígido: Qualquer alteração na estrutura de dados (ex: adicionar um novo campo no Prontuário) exige a execução de uma Migration e pode causar downtime se não for bem planejada.</w:t>
      </w:r>
    </w:p>
    <w:p w:rsidR="00000000" w:rsidDel="00000000" w:rsidP="00000000" w:rsidRDefault="00000000" w:rsidRPr="00000000" w14:paraId="00000019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py653es2m5xm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ADR 003: Autenticação via JSON Web Token (JWT) com Login por Username</w:t>
      </w:r>
    </w:p>
    <w:p w:rsidR="00000000" w:rsidDel="00000000" w:rsidP="00000000" w:rsidRDefault="00000000" w:rsidRPr="00000000" w14:paraId="0000001B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Aceito</w:t>
      </w:r>
    </w:p>
    <w:p w:rsidR="00000000" w:rsidDel="00000000" w:rsidP="00000000" w:rsidRDefault="00000000" w:rsidRPr="00000000" w14:paraId="0000001C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Data:</w:t>
      </w:r>
      <w:r w:rsidDel="00000000" w:rsidR="00000000" w:rsidRPr="00000000">
        <w:rPr>
          <w:rtl w:val="0"/>
        </w:rPr>
        <w:t xml:space="preserve"> 30/04/2026</w:t>
      </w:r>
    </w:p>
    <w:p w:rsidR="00000000" w:rsidDel="00000000" w:rsidP="00000000" w:rsidRDefault="00000000" w:rsidRPr="00000000" w14:paraId="0000001D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Contexto:</w:t>
      </w:r>
      <w:r w:rsidDel="00000000" w:rsidR="00000000" w:rsidRPr="00000000">
        <w:rPr>
          <w:rtl w:val="0"/>
        </w:rPr>
        <w:t xml:space="preserve"> Necessidade de identificar usuários na recepção de forma rápida, sem exigir e-mails longos, e manter a sessão segura.</w:t>
      </w:r>
    </w:p>
    <w:p w:rsidR="00000000" w:rsidDel="00000000" w:rsidP="00000000" w:rsidRDefault="00000000" w:rsidRPr="00000000" w14:paraId="0000001E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Decisão:</w:t>
      </w:r>
      <w:r w:rsidDel="00000000" w:rsidR="00000000" w:rsidRPr="00000000">
        <w:rPr>
          <w:rtl w:val="0"/>
        </w:rPr>
        <w:t xml:space="preserve"> Implementar autenticação </w:t>
      </w:r>
      <w:r w:rsidDel="00000000" w:rsidR="00000000" w:rsidRPr="00000000">
        <w:rPr>
          <w:b w:val="1"/>
          <w:bCs w:val="1"/>
          <w:rtl w:val="0"/>
        </w:rPr>
        <w:t xml:space="preserve">Stateless via JWT</w:t>
      </w:r>
      <w:r w:rsidDel="00000000" w:rsidR="00000000" w:rsidRPr="00000000">
        <w:rPr>
          <w:rtl w:val="0"/>
        </w:rPr>
        <w:t xml:space="preserve">, substituindo o campo </w:t>
      </w:r>
      <w:r w:rsidDel="00000000" w:rsidR="00000000" w:rsidRPr="00000000">
        <w:rPr>
          <w:rtl w:val="0"/>
        </w:rPr>
        <w:t xml:space="preserve">email</w:t>
      </w:r>
      <w:r w:rsidDel="00000000" w:rsidR="00000000" w:rsidRPr="00000000">
        <w:rPr>
          <w:rtl w:val="0"/>
        </w:rPr>
        <w:t xml:space="preserve"> por </w:t>
      </w:r>
      <w:r w:rsidDel="00000000" w:rsidR="00000000" w:rsidRPr="00000000">
        <w:rPr>
          <w:rtl w:val="0"/>
        </w:rPr>
        <w:t xml:space="preserve">username</w:t>
      </w:r>
      <w:r w:rsidDel="00000000" w:rsidR="00000000" w:rsidRPr="00000000">
        <w:rPr>
          <w:rtl w:val="0"/>
        </w:rPr>
        <w:t xml:space="preserve"> (iniciais/login curto).</w:t>
      </w:r>
    </w:p>
    <w:p w:rsidR="00000000" w:rsidDel="00000000" w:rsidP="00000000" w:rsidRDefault="00000000" w:rsidRPr="00000000" w14:paraId="0000001F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Justificativa:</w:t>
      </w:r>
      <w:r w:rsidDel="00000000" w:rsidR="00000000" w:rsidRPr="00000000">
        <w:rPr>
          <w:rtl w:val="0"/>
        </w:rPr>
        <w:t xml:space="preserve"> </w:t>
        <w:br w:type="textWrapping"/>
        <w:t xml:space="preserve">1. </w:t>
      </w:r>
      <w:r w:rsidDel="00000000" w:rsidR="00000000" w:rsidRPr="00000000">
        <w:rPr>
          <w:b w:val="1"/>
          <w:bCs w:val="1"/>
          <w:rtl w:val="0"/>
        </w:rPr>
        <w:t xml:space="preserve">Agilidade Operacional:</w:t>
      </w:r>
      <w:r w:rsidDel="00000000" w:rsidR="00000000" w:rsidRPr="00000000">
        <w:rPr>
          <w:rtl w:val="0"/>
        </w:rPr>
        <w:t xml:space="preserve"> A recepcionista precisa de velocidade. Digitar </w:t>
      </w:r>
      <w:r w:rsidDel="00000000" w:rsidR="00000000" w:rsidRPr="00000000">
        <w:rPr>
          <w:rtl w:val="0"/>
        </w:rPr>
        <w:t xml:space="preserve">erlon</w:t>
      </w:r>
      <w:r w:rsidDel="00000000" w:rsidR="00000000" w:rsidRPr="00000000">
        <w:rPr>
          <w:rtl w:val="0"/>
        </w:rPr>
        <w:t xml:space="preserve"> é mais rápido que </w:t>
      </w:r>
      <w:r w:rsidDel="00000000" w:rsidR="00000000" w:rsidRPr="00000000">
        <w:rPr>
          <w:rtl w:val="0"/>
        </w:rPr>
        <w:t xml:space="preserve">erlon.silva@clinica.com.br</w:t>
      </w:r>
      <w:r w:rsidDel="00000000" w:rsidR="00000000" w:rsidRPr="00000000">
        <w:rPr>
          <w:rtl w:val="0"/>
        </w:rPr>
        <w:t xml:space="preserve">. </w:t>
        <w:br w:type="textWrapping"/>
        <w:t xml:space="preserve">2. </w:t>
      </w:r>
      <w:r w:rsidDel="00000000" w:rsidR="00000000" w:rsidRPr="00000000">
        <w:rPr>
          <w:b w:val="1"/>
          <w:bCs w:val="1"/>
          <w:rtl w:val="0"/>
        </w:rPr>
        <w:t xml:space="preserve">Escalabilidade (Stateless):</w:t>
      </w:r>
      <w:r w:rsidDel="00000000" w:rsidR="00000000" w:rsidRPr="00000000">
        <w:rPr>
          <w:rtl w:val="0"/>
        </w:rPr>
        <w:t xml:space="preserve"> O servidor não precisa guardar estados de sessão na memória. O token carregado pelo cliente (Albert) contém toda a informação necessária para autorizar as rotas. </w:t>
        <w:br w:type="textWrapping"/>
        <w:t xml:space="preserve">3. </w:t>
      </w:r>
      <w:r w:rsidDel="00000000" w:rsidR="00000000" w:rsidRPr="00000000">
        <w:rPr>
          <w:b w:val="1"/>
          <w:bCs w:val="1"/>
          <w:rtl w:val="0"/>
        </w:rPr>
        <w:t xml:space="preserve">Segurança:</w:t>
      </w:r>
      <w:r w:rsidDel="00000000" w:rsidR="00000000" w:rsidRPr="00000000">
        <w:rPr>
          <w:rtl w:val="0"/>
        </w:rPr>
        <w:t xml:space="preserve"> O JWT permite expiração automática e assinatura digital, protegendo os dados sensíveis dos pacientes.</w:t>
      </w:r>
    </w:p>
    <w:p w:rsidR="00000000" w:rsidDel="00000000" w:rsidP="00000000" w:rsidRDefault="00000000" w:rsidRPr="00000000" w14:paraId="00000020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br w:type="textWrapping"/>
        <w:br w:type="textWrapping"/>
        <w:br w:type="textWrapping"/>
        <w:t xml:space="preserve">(Positivo)</w:t>
      </w:r>
    </w:p>
    <w:p w:rsidR="00000000" w:rsidDel="00000000" w:rsidP="00000000" w:rsidRDefault="00000000" w:rsidRPr="00000000" w14:paraId="00000021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Segurança no Tráfego de Dados: Permite que informações do profissional de saúde (como ID e nível de acesso) sejam transportadas de forma compacta e assinada digitalmente.</w:t>
      </w:r>
    </w:p>
    <w:p w:rsidR="00000000" w:rsidDel="00000000" w:rsidP="00000000" w:rsidRDefault="00000000" w:rsidRPr="00000000" w14:paraId="00000022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Performance: Reduz a necessidade de consultas constantes ao banco de dados apenas para verificar se o usuário ainda está logado, já que o token é autossuficiente.</w:t>
      </w:r>
    </w:p>
    <w:p w:rsidR="00000000" w:rsidDel="00000000" w:rsidP="00000000" w:rsidRDefault="00000000" w:rsidRPr="00000000" w14:paraId="00000023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(negativo)</w:t>
      </w:r>
    </w:p>
    <w:p w:rsidR="00000000" w:rsidDel="00000000" w:rsidP="00000000" w:rsidRDefault="00000000" w:rsidRPr="00000000" w14:paraId="00000024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Complexidade de Refresh: Exige a implementação de uma lógica de Refresh Token para que o usuário não precise fazer login novamente a cada 15 minutos.</w:t>
      </w:r>
    </w:p>
    <w:p w:rsidR="00000000" w:rsidDel="00000000" w:rsidP="00000000" w:rsidRDefault="00000000" w:rsidRPr="00000000" w14:paraId="00000025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9x9zai3h7ih4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ADR 004: Padronização de Configurações via Variáveis de Ambiente (.env)</w:t>
      </w:r>
    </w:p>
    <w:p w:rsidR="00000000" w:rsidDel="00000000" w:rsidP="00000000" w:rsidRDefault="00000000" w:rsidRPr="00000000" w14:paraId="00000028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Aceito</w:t>
      </w:r>
    </w:p>
    <w:p w:rsidR="00000000" w:rsidDel="00000000" w:rsidP="00000000" w:rsidRDefault="00000000" w:rsidRPr="00000000" w14:paraId="00000029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Data:</w:t>
      </w:r>
      <w:r w:rsidDel="00000000" w:rsidR="00000000" w:rsidRPr="00000000">
        <w:rPr>
          <w:rtl w:val="0"/>
        </w:rPr>
        <w:t xml:space="preserve"> 30/04/2026</w:t>
      </w:r>
    </w:p>
    <w:p w:rsidR="00000000" w:rsidDel="00000000" w:rsidP="00000000" w:rsidRDefault="00000000" w:rsidRPr="00000000" w14:paraId="0000002A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Contexto:</w:t>
      </w:r>
      <w:r w:rsidDel="00000000" w:rsidR="00000000" w:rsidRPr="00000000">
        <w:rPr>
          <w:rtl w:val="0"/>
        </w:rPr>
        <w:t xml:space="preserve"> O projeto estava enfrentando erros de conexão (</w:t>
      </w:r>
      <w:r w:rsidDel="00000000" w:rsidR="00000000" w:rsidRPr="00000000">
        <w:rPr>
          <w:rtl w:val="0"/>
        </w:rPr>
        <w:t xml:space="preserve">undefined</w:t>
      </w:r>
      <w:r w:rsidDel="00000000" w:rsidR="00000000" w:rsidRPr="00000000">
        <w:rPr>
          <w:rtl w:val="0"/>
        </w:rPr>
        <w:t xml:space="preserve">) e riscos de segurança ao expor senhas do banco de dados no código-fonte.</w:t>
      </w:r>
    </w:p>
    <w:p w:rsidR="00000000" w:rsidDel="00000000" w:rsidP="00000000" w:rsidRDefault="00000000" w:rsidRPr="00000000" w14:paraId="0000002B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Decisão:</w:t>
      </w:r>
      <w:r w:rsidDel="00000000" w:rsidR="00000000" w:rsidRPr="00000000">
        <w:rPr>
          <w:rtl w:val="0"/>
        </w:rPr>
        <w:t xml:space="preserve"> Adotar o uso obrigatório de arquivos </w:t>
      </w:r>
      <w:r w:rsidDel="00000000" w:rsidR="00000000" w:rsidRPr="00000000">
        <w:rPr>
          <w:b w:val="1"/>
          <w:bCs w:val="1"/>
          <w:rtl w:val="0"/>
        </w:rPr>
        <w:t xml:space="preserve">.env</w:t>
      </w:r>
      <w:r w:rsidDel="00000000" w:rsidR="00000000" w:rsidRPr="00000000">
        <w:rPr>
          <w:rtl w:val="0"/>
        </w:rPr>
        <w:t xml:space="preserve"> e da biblioteca </w:t>
      </w:r>
      <w:r w:rsidDel="00000000" w:rsidR="00000000" w:rsidRPr="00000000">
        <w:rPr>
          <w:rtl w:val="0"/>
        </w:rPr>
        <w:t xml:space="preserve">dotenv</w:t>
      </w:r>
      <w:r w:rsidDel="00000000" w:rsidR="00000000" w:rsidRPr="00000000">
        <w:rPr>
          <w:rtl w:val="0"/>
        </w:rPr>
        <w:t xml:space="preserve"> em todos os ambientes de desenvolvimento.</w:t>
      </w:r>
    </w:p>
    <w:p w:rsidR="00000000" w:rsidDel="00000000" w:rsidP="00000000" w:rsidRDefault="00000000" w:rsidRPr="00000000" w14:paraId="0000002C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Justificativa: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D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1. </w:t>
      </w:r>
      <w:r w:rsidDel="00000000" w:rsidR="00000000" w:rsidRPr="00000000">
        <w:rPr>
          <w:b w:val="1"/>
          <w:bCs w:val="1"/>
          <w:rtl w:val="0"/>
        </w:rPr>
        <w:t xml:space="preserve">Segurança (DevSecOps):</w:t>
      </w:r>
      <w:r w:rsidDel="00000000" w:rsidR="00000000" w:rsidRPr="00000000">
        <w:rPr>
          <w:rtl w:val="0"/>
        </w:rPr>
        <w:t xml:space="preserve"> Impede que credenciais críticas (como a </w:t>
      </w:r>
      <w:r w:rsidDel="00000000" w:rsidR="00000000" w:rsidRPr="00000000">
        <w:rPr>
          <w:rtl w:val="0"/>
        </w:rPr>
        <w:t xml:space="preserve">MONGO_URI</w:t>
      </w:r>
      <w:r w:rsidDel="00000000" w:rsidR="00000000" w:rsidRPr="00000000">
        <w:rPr>
          <w:rtl w:val="0"/>
        </w:rPr>
        <w:t xml:space="preserve">) sejam enviadas para o GitHub. </w:t>
      </w:r>
    </w:p>
    <w:p w:rsidR="00000000" w:rsidDel="00000000" w:rsidP="00000000" w:rsidRDefault="00000000" w:rsidRPr="00000000" w14:paraId="0000002E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2. </w:t>
      </w:r>
      <w:r w:rsidDel="00000000" w:rsidR="00000000" w:rsidRPr="00000000">
        <w:rPr>
          <w:b w:val="1"/>
          <w:bCs w:val="1"/>
          <w:rtl w:val="0"/>
        </w:rPr>
        <w:t xml:space="preserve">Portabilidade:</w:t>
      </w:r>
      <w:r w:rsidDel="00000000" w:rsidR="00000000" w:rsidRPr="00000000">
        <w:rPr>
          <w:rtl w:val="0"/>
        </w:rPr>
        <w:t xml:space="preserve"> Facilita a troca de ambiente (Desenvolvimento vs. Produção) sem precisar alterar uma única linha de código lógico. </w:t>
      </w:r>
    </w:p>
    <w:p w:rsidR="00000000" w:rsidDel="00000000" w:rsidP="00000000" w:rsidRDefault="00000000" w:rsidRPr="00000000" w14:paraId="0000002F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3. </w:t>
      </w:r>
      <w:r w:rsidDel="00000000" w:rsidR="00000000" w:rsidRPr="00000000">
        <w:rPr>
          <w:b w:val="1"/>
          <w:bCs w:val="1"/>
          <w:rtl w:val="0"/>
        </w:rPr>
        <w:t xml:space="preserve">Padronização da Equipe:</w:t>
      </w:r>
      <w:r w:rsidDel="00000000" w:rsidR="00000000" w:rsidRPr="00000000">
        <w:rPr>
          <w:rtl w:val="0"/>
        </w:rPr>
        <w:t xml:space="preserve"> Todos os desenvolvedores seguem o mesmo modelo de configuração (</w:t>
      </w:r>
      <w:r w:rsidDel="00000000" w:rsidR="00000000" w:rsidRPr="00000000">
        <w:rPr>
          <w:rtl w:val="0"/>
        </w:rPr>
        <w:t xml:space="preserve">.env.example</w:t>
      </w:r>
      <w:r w:rsidDel="00000000" w:rsidR="00000000" w:rsidRPr="00000000">
        <w:rPr>
          <w:rtl w:val="0"/>
        </w:rPr>
        <w:t xml:space="preserve">), evitando o erro de "na minha máquina funciona".</w:t>
      </w:r>
    </w:p>
    <w:p w:rsidR="00000000" w:rsidDel="00000000" w:rsidP="00000000" w:rsidRDefault="00000000" w:rsidRPr="00000000" w14:paraId="00000030">
      <w:pPr>
        <w:jc w:val="both"/>
        <w:rPr/>
      </w:pPr>
      <w:r w:rsidDel="00000000" w:rsidR="00000000" w:rsidRPr="00000000">
        <w:rPr>
          <w:rtl w:val="0"/>
        </w:rPr>
        <w:t xml:space="preserve">(Positivo)</w:t>
      </w:r>
    </w:p>
    <w:p w:rsidR="00000000" w:rsidDel="00000000" w:rsidP="00000000" w:rsidRDefault="00000000" w:rsidRPr="00000000" w14:paraId="00000031">
      <w:pPr>
        <w:jc w:val="both"/>
        <w:rPr/>
      </w:pPr>
      <w:r w:rsidDel="00000000" w:rsidR="00000000" w:rsidRPr="00000000">
        <w:rPr>
          <w:rtl w:val="0"/>
        </w:rPr>
        <w:t xml:space="preserve">Padronização da Equipe: Cria um padrão claro para os desenvolvedores: "onde cada arquivo deve ficar", reduzindo a confusão durante o desenvolvimento do projeto.</w:t>
      </w:r>
    </w:p>
    <w:p w:rsidR="00000000" w:rsidDel="00000000" w:rsidP="00000000" w:rsidRDefault="00000000" w:rsidRPr="00000000" w14:paraId="00000032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jc w:val="both"/>
        <w:rPr/>
      </w:pPr>
      <w:r w:rsidDel="00000000" w:rsidR="00000000" w:rsidRPr="00000000">
        <w:rPr>
          <w:rtl w:val="0"/>
        </w:rPr>
        <w:t xml:space="preserve">(Negativo)</w:t>
      </w:r>
    </w:p>
    <w:p w:rsidR="00000000" w:rsidDel="00000000" w:rsidP="00000000" w:rsidRDefault="00000000" w:rsidRPr="00000000" w14:paraId="00000036">
      <w:pPr>
        <w:jc w:val="both"/>
        <w:rPr/>
      </w:pPr>
      <w:r w:rsidDel="00000000" w:rsidR="00000000" w:rsidRPr="00000000">
        <w:rPr>
          <w:rtl w:val="0"/>
        </w:rPr>
        <w:t xml:space="preserve">Curva de Aprendizado: Exige que todos os membros da equipe entendam os limites de cada camada, evitando que regras de negócio "vazem" para dentro dos controladores ou do banco de dados.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