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231863" cy="1491629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1863" cy="14916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0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00" w:line="240" w:lineRule="auto"/>
        <w:jc w:val="center"/>
        <w:rPr>
          <w:rFonts w:ascii="Times New Roman" w:cs="Times New Roman" w:eastAsia="Times New Roman" w:hAnsi="Times New Roman"/>
          <w:sz w:val="58"/>
          <w:szCs w:val="5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8"/>
          <w:szCs w:val="58"/>
          <w:rtl w:val="0"/>
        </w:rPr>
        <w:t xml:space="preserve">LABORATORIO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4"/>
        <w:keepNext w:val="0"/>
        <w:keepLines w:val="0"/>
        <w:spacing w:after="40" w:before="240" w:lineRule="auto"/>
        <w:jc w:val="center"/>
        <w:rPr>
          <w:rFonts w:ascii="Times New Roman" w:cs="Times New Roman" w:eastAsia="Times New Roman" w:hAnsi="Times New Roman"/>
          <w:color w:val="000000"/>
        </w:rPr>
      </w:pPr>
      <w:bookmarkStart w:colFirst="0" w:colLast="0" w:name="_vafd6r9mxohb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Automatización, Modelamiento y Orquestación de Procesos con n8n: Sistema de Devoluciones de AndesHogar SpA</w:t>
      </w:r>
    </w:p>
    <w:p w:rsidR="00000000" w:rsidDel="00000000" w:rsidP="00000000" w:rsidRDefault="00000000" w:rsidRPr="00000000" w14:paraId="00000010">
      <w:pPr>
        <w:spacing w:after="240" w:before="240" w:line="240" w:lineRule="auto"/>
        <w:jc w:val="center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Helvetica Neue" w:cs="Helvetica Neue" w:eastAsia="Helvetica Neue" w:hAnsi="Helvetica Neu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Helvetica Neue" w:cs="Helvetica Neue" w:eastAsia="Helvetica Neue" w:hAnsi="Helvetica Neu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Helvetica Neue" w:cs="Helvetica Neue" w:eastAsia="Helvetica Neue" w:hAnsi="Helvetica Neu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Helvetica Neue" w:cs="Helvetica Neue" w:eastAsia="Helvetica Neue" w:hAnsi="Helvetica Neu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Helvetica Neue" w:cs="Helvetica Neue" w:eastAsia="Helvetica Neue" w:hAnsi="Helvetica Neu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Helvetica Neue" w:cs="Helvetica Neue" w:eastAsia="Helvetica Neue" w:hAnsi="Helvetica Neu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Helvetica Neue" w:cs="Helvetica Neue" w:eastAsia="Helvetica Neue" w:hAnsi="Helvetica Neu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Helvetica Neue" w:cs="Helvetica Neue" w:eastAsia="Helvetica Neue" w:hAnsi="Helvetica Neu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Helvetica Neue" w:cs="Helvetica Neue" w:eastAsia="Helvetica Neue" w:hAnsi="Helvetica Neu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Helvetica Neue" w:cs="Helvetica Neue" w:eastAsia="Helvetica Neue" w:hAnsi="Helvetica Neu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Helvetica Neue" w:cs="Helvetica Neue" w:eastAsia="Helvetica Neue" w:hAnsi="Helvetica Neu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Helvetica Neue" w:cs="Helvetica Neue" w:eastAsia="Helvetica Neue" w:hAnsi="Helvetica Neue"/>
          <w:b w:val="1"/>
          <w:bCs w:val="1"/>
          <w:sz w:val="24"/>
          <w:szCs w:val="24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4"/>
          <w:szCs w:val="24"/>
          <w:rtl w:val="0"/>
        </w:rPr>
        <w:t xml:space="preserve">Departamento de Industrias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ICN-292 — Sistemas de Información para la Gestión</w:t>
      </w:r>
    </w:p>
    <w:p w:rsidR="00000000" w:rsidDel="00000000" w:rsidP="00000000" w:rsidRDefault="00000000" w:rsidRPr="00000000" w14:paraId="0000001E">
      <w:pPr>
        <w:rPr>
          <w:rFonts w:ascii="Verdana" w:cs="Verdana" w:eastAsia="Verdana" w:hAnsi="Verdana"/>
          <w:b w:val="1"/>
          <w:bCs w:val="1"/>
          <w:sz w:val="16"/>
          <w:szCs w:val="16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16"/>
          <w:szCs w:val="16"/>
          <w:rtl w:val="0"/>
        </w:rPr>
        <w:t xml:space="preserve">Paralelo: 101</w:t>
      </w:r>
    </w:p>
    <w:p w:rsidR="00000000" w:rsidDel="00000000" w:rsidP="00000000" w:rsidRDefault="00000000" w:rsidRPr="00000000" w14:paraId="0000001F">
      <w:pPr>
        <w:rPr>
          <w:rFonts w:ascii="Verdana" w:cs="Verdana" w:eastAsia="Verdana" w:hAnsi="Verdana"/>
          <w:b w:val="1"/>
          <w:bCs w:val="1"/>
          <w:sz w:val="16"/>
          <w:szCs w:val="16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16"/>
          <w:szCs w:val="16"/>
          <w:rtl w:val="0"/>
        </w:rPr>
        <w:t xml:space="preserve">Profesor: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J. Saez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Verdana" w:cs="Verdana" w:eastAsia="Verdana" w:hAnsi="Verdana"/>
          <w:b w:val="1"/>
          <w:bCs w:val="1"/>
          <w:sz w:val="16"/>
          <w:szCs w:val="16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16"/>
          <w:szCs w:val="16"/>
          <w:rtl w:val="0"/>
        </w:rPr>
        <w:t xml:space="preserve">Alumno: Carlos Martínez González</w:t>
      </w:r>
    </w:p>
    <w:p w:rsidR="00000000" w:rsidDel="00000000" w:rsidP="00000000" w:rsidRDefault="00000000" w:rsidRPr="00000000" w14:paraId="00000021">
      <w:pPr>
        <w:rPr>
          <w:rFonts w:ascii="Verdana" w:cs="Verdana" w:eastAsia="Verdana" w:hAnsi="Verdana"/>
          <w:b w:val="1"/>
          <w:bCs w:val="1"/>
          <w:sz w:val="16"/>
          <w:szCs w:val="16"/>
        </w:rPr>
        <w:sectPr>
          <w:headerReference r:id="rId7" w:type="default"/>
          <w:footerReference r:id="rId8" w:type="default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16"/>
          <w:szCs w:val="16"/>
          <w:rtl w:val="0"/>
        </w:rPr>
        <w:t xml:space="preserve">Rol: 202466517-0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before="28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37zltrenerz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Tabla de Parámetros Operacionales</w:t>
      </w:r>
    </w:p>
    <w:tbl>
      <w:tblPr>
        <w:tblStyle w:val="Table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Parámetro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Valor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Significado Técnico / Regla de Negocio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Umbral de aprobación/revisión [U]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$74.000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Límite monetario en CLP/UF. Toda devolución cuyo monto supere U requiere derivación obligatoria a la ruta de revisión.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Plazo de devolución [D]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 días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Días corridos máximos permitidos desde la fecha de compra para aceptar y procesar la solicitud.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Semilla de control [S]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944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Semilla numérica de inicialización para la generación y validación de lotes de prueba.</w:t>
            </w:r>
          </w:p>
        </w:tc>
      </w:tr>
    </w:tbl>
    <w:p w:rsidR="00000000" w:rsidDel="00000000" w:rsidP="00000000" w:rsidRDefault="00000000" w:rsidRPr="00000000" w14:paraId="00000031">
      <w:pPr>
        <w:keepNext w:val="0"/>
        <w:keepLines w:val="0"/>
        <w:spacing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Resumen Ejecutivo</w:t>
      </w:r>
    </w:p>
    <w:p w:rsidR="00000000" w:rsidDel="00000000" w:rsidP="00000000" w:rsidRDefault="00000000" w:rsidRPr="00000000" w14:paraId="00000032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El presente informe detalla el diseño, implementación y validación técnica del Laboratorio 3 orientado a la automatización integral del proceso de devoluciones de la empresa e-commerce AndesHogar SpA, utilizando la plataforma de orquestación n8n. Operando bajo los parámetros definidos (U = 74.000 y D = 7), se estructuró una arquitectura robusta compuesta por tres workflows interconectados: un flujo central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Triage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para la captura de eventos mediante Webhooks y evaluación de reglas de negocio prioritarias; un flujo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Emisor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para la ejecución de pruebas masivas y simulación de carga; y un flujo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Resumen y Consolidación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vinculado a Google Sheets para la generación automatizada de métricas y estados financieros por ruta. Adicionalmente, se documenta de forma exhaustiva el tratamiento de excepciones, control de datos inválidos y análisis de casos borde operacionales para garantizar la trazabilidad y resiliencia del sistema.</w:t>
      </w:r>
    </w:p>
    <w:p w:rsidR="00000000" w:rsidDel="00000000" w:rsidP="00000000" w:rsidRDefault="00000000" w:rsidRPr="00000000" w14:paraId="00000033">
      <w:pPr>
        <w:keepNext w:val="0"/>
        <w:keepLines w:val="0"/>
        <w:spacing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1. PARTE A: Arquitectura e Implementación de Workflows en n8n</w:t>
      </w:r>
    </w:p>
    <w:p w:rsidR="00000000" w:rsidDel="00000000" w:rsidP="00000000" w:rsidRDefault="00000000" w:rsidRPr="00000000" w14:paraId="00000034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La solución implementada traslada el modelo operativo teórico a un entorno de ejecución real automatizado a través de tres componentes principales:</w:t>
      </w:r>
    </w:p>
    <w:p w:rsidR="00000000" w:rsidDel="00000000" w:rsidP="00000000" w:rsidRDefault="00000000" w:rsidRPr="00000000" w14:paraId="00000035">
      <w:pPr>
        <w:keepNext w:val="0"/>
        <w:keepLines w:val="0"/>
        <w:spacing w:after="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Workflow 1: Triage (Webhooks, Lógica Condicional y Registro)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0" w:afterAutospacing="0" w:before="24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Recepción de Datos (Webhook Trigger):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Captura de manera sincrónica y en tiempo real las solicitudes de devolución enviadas mediante peticiones HTTP POST estructuradas en formato JSON.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Motor de Decisiones (Nodo Switch):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Evalúa las solicitudes bajo un orden estricto de prioridades para evitar conflictos de clasificación:</w:t>
      </w:r>
    </w:p>
    <w:p w:rsidR="00000000" w:rsidDel="00000000" w:rsidP="00000000" w:rsidRDefault="00000000" w:rsidRPr="00000000" w14:paraId="00000038">
      <w:pPr>
        <w:numPr>
          <w:ilvl w:val="1"/>
          <w:numId w:val="3"/>
        </w:numPr>
        <w:spacing w:after="0" w:afterAutospacing="0" w:before="0" w:beforeAutospacing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Datos Inválidos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88038"/>
          <w:sz w:val="20"/>
          <w:szCs w:val="20"/>
          <w:rtl w:val="0"/>
        </w:rPr>
        <w:t xml:space="preserve">DATOS_INVALIDOS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Intercepta de forma prioritaria IDs de solicitud nulos, vacíos o montos menores o iguales a 0.</w:t>
      </w:r>
    </w:p>
    <w:p w:rsidR="00000000" w:rsidDel="00000000" w:rsidP="00000000" w:rsidRDefault="00000000" w:rsidRPr="00000000" w14:paraId="00000039">
      <w:pPr>
        <w:numPr>
          <w:ilvl w:val="1"/>
          <w:numId w:val="3"/>
        </w:numPr>
        <w:spacing w:after="0" w:afterAutospacing="0" w:before="0" w:beforeAutospacing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Rechazo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88038"/>
          <w:sz w:val="20"/>
          <w:szCs w:val="20"/>
          <w:rtl w:val="0"/>
        </w:rPr>
        <w:t xml:space="preserve">RECHAZO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Filtra aquellas solicitudes que superan el plazo máximo D = 7 o cuyo estado de producto esté catalogado como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0"/>
          <w:szCs w:val="20"/>
          <w:rtl w:val="0"/>
        </w:rPr>
        <w:t xml:space="preserve">danado_por_uso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spacing w:after="0" w:afterAutospacing="0" w:before="0" w:beforeAutospacing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Revisión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88038"/>
          <w:sz w:val="20"/>
          <w:szCs w:val="20"/>
          <w:rtl w:val="0"/>
        </w:rPr>
        <w:t xml:space="preserve">REVISION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Deriva casos con montos superiores al umbral U = 74.000 o productos con reporte técnico de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0"/>
          <w:szCs w:val="20"/>
          <w:rtl w:val="0"/>
        </w:rPr>
        <w:t xml:space="preserve">con_fallas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3B">
      <w:pPr>
        <w:numPr>
          <w:ilvl w:val="1"/>
          <w:numId w:val="3"/>
        </w:numPr>
        <w:spacing w:after="0" w:afterAutospacing="0" w:before="0" w:beforeAutospacing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Aprobación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88038"/>
          <w:sz w:val="20"/>
          <w:szCs w:val="20"/>
          <w:rtl w:val="0"/>
        </w:rPr>
        <w:t xml:space="preserve">APROBACION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Ruta por defecto (fallback) para transacciones que cumplen cabalmente con los criterios de aceptación automática.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Integración Operativa (Google Sheets - Append):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Almacena de forma persistente y estructurada cada transacción procesada, mapeando con precisión los campos clave: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0"/>
          <w:szCs w:val="20"/>
          <w:rtl w:val="0"/>
        </w:rPr>
        <w:t xml:space="preserve">id_solicitud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0"/>
          <w:szCs w:val="20"/>
          <w:rtl w:val="0"/>
        </w:rPr>
        <w:t xml:space="preserve">sku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0"/>
          <w:szCs w:val="20"/>
          <w:rtl w:val="0"/>
        </w:rPr>
        <w:t xml:space="preserve">monto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0"/>
          <w:szCs w:val="20"/>
          <w:rtl w:val="0"/>
        </w:rPr>
        <w:t xml:space="preserve">ruta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asignada,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0"/>
          <w:szCs w:val="20"/>
          <w:rtl w:val="0"/>
        </w:rPr>
        <w:t xml:space="preserve">motivo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junto con los parámetros fijos U y D.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240" w:before="0" w:before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Respuesta al Emisor (Respond to Webhook):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Cierra el ciclo de comunicación devolviendo una respuesta HTTP estructurada al cliente o sistema externo.</w:t>
      </w:r>
    </w:p>
    <w:p w:rsidR="00000000" w:rsidDel="00000000" w:rsidP="00000000" w:rsidRDefault="00000000" w:rsidRPr="00000000" w14:paraId="0000003E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Workflow 2: Emisor (Simulación y Pruebas Masivas)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afterAutospacing="0" w:before="24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Diseñado para reproducir un entorno de alta concurrencia o lotes de prueba operacionales.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240" w:before="0" w:before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Emplea un nodo de código personalizado en JavaScript para estructurar los payloads de prueba y un nodo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HTTP Request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configurado bajo el método POST para disparar lotes secuenciales hacia el Webhook del Workflow 1.</w:t>
      </w:r>
    </w:p>
    <w:p w:rsidR="00000000" w:rsidDel="00000000" w:rsidP="00000000" w:rsidRDefault="00000000" w:rsidRPr="00000000" w14:paraId="00000041">
      <w:pPr>
        <w:keepNext w:val="0"/>
        <w:keepLines w:val="0"/>
        <w:spacing w:after="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Workflow 3: Resumen y Consolidación (Reportes Automáticos)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afterAutospacing="0" w:before="24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Schedule Trigger: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Disparador programado encargado de activar el proceso de consolidación de forma automática o periódica.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Extracción de Datos (Google Sheets - Get Many):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Importa el registro completo de las transacciones almacenadas en la planilla de auditoría.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240" w:before="0" w:before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Nodo Summarize (Transformación y Métricas):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Agrupa los registros utilizando el campo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0"/>
          <w:szCs w:val="20"/>
          <w:rtl w:val="0"/>
        </w:rPr>
        <w:t xml:space="preserve">ruta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como clave de segmentación, ejecutando operaciones de conteo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0"/>
          <w:szCs w:val="20"/>
          <w:rtl w:val="0"/>
        </w:rPr>
        <w:t xml:space="preserve">Count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) sobre el total de solicitudes y sumatorias financieras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0"/>
          <w:szCs w:val="20"/>
          <w:rtl w:val="0"/>
        </w:rPr>
        <w:t xml:space="preserve">Sum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) sobre el campo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0"/>
          <w:szCs w:val="20"/>
          <w:rtl w:val="0"/>
        </w:rPr>
        <w:t xml:space="preserve">monto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para cada categoría.</w:t>
      </w:r>
    </w:p>
    <w:p w:rsidR="00000000" w:rsidDel="00000000" w:rsidP="00000000" w:rsidRDefault="00000000" w:rsidRPr="00000000" w14:paraId="00000045">
      <w:pPr>
        <w:keepNext w:val="0"/>
        <w:keepLines w:val="0"/>
        <w:spacing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 PARTE B: Diagnóstico Cuantificado y Validación de Lotes</w:t>
      </w:r>
    </w:p>
    <w:p w:rsidR="00000000" w:rsidDel="00000000" w:rsidP="00000000" w:rsidRDefault="00000000" w:rsidRPr="00000000" w14:paraId="00000046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La ejecución de las pruebas sobre el lote estándar de 15 solicitudes bajo los parámetros U = 74.000 y D = 7 demostró el correcto funcionamiento del motor de reglas: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before="24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Eliminación de Sesgos y Errores: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La parametrización estricta de las expresiones en los nodos de decisión evitó el comportamiento plano detectado en fases preliminares (donde se registraban falsas aprobaciones masivas), logrando una distribución real y coherente entre las rutas de aprobación, rechazo y revisión.</w:t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240" w:before="0" w:before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Trazabilidad y Auditoría: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La sincronización directa entre los nodos de procesamiento y Google Sheets garantiza que el 100% de las transacciones cuenten con una bitácora digital inalterable, suprimiendo los reprocesos administrativos por transcripción manual.</w:t>
      </w:r>
    </w:p>
    <w:p w:rsidR="00000000" w:rsidDel="00000000" w:rsidP="00000000" w:rsidRDefault="00000000" w:rsidRPr="00000000" w14:paraId="00000049">
      <w:pPr>
        <w:keepNext w:val="0"/>
        <w:keepLines w:val="0"/>
        <w:spacing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3. PARTE C: Manejo de Errores, Casos Borde y Excepciones</w:t>
      </w:r>
    </w:p>
    <w:p w:rsidR="00000000" w:rsidDel="00000000" w:rsidP="00000000" w:rsidRDefault="00000000" w:rsidRPr="00000000" w14:paraId="0000004A">
      <w:pPr>
        <w:keepNext w:val="0"/>
        <w:keepLines w:val="0"/>
        <w:spacing w:after="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  <w:rtl w:val="0"/>
        </w:rPr>
        <w:t xml:space="preserve">1. Validación Estricta de Datos Inválidos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88038"/>
          <w:sz w:val="20"/>
          <w:szCs w:val="20"/>
          <w:rtl w:val="0"/>
        </w:rPr>
        <w:t xml:space="preserve">DATOS_INVALIDOS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0" w:afterAutospacing="0" w:before="24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Detección Temprana: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El sistema intercepta peticiones mal formadas, nulas o con valores de montos nulos/negativos en la primera etapa del nodo Switch.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240" w:before="0" w:before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Protección de Métricas: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Al desviar estas anomalías a una ruta de excepción independiente, se evita la contaminación de los indicadores operativos y financieros de la compañía.</w:t>
      </w:r>
    </w:p>
    <w:p w:rsidR="00000000" w:rsidDel="00000000" w:rsidP="00000000" w:rsidRDefault="00000000" w:rsidRPr="00000000" w14:paraId="0000004D">
      <w:pPr>
        <w:keepNext w:val="0"/>
        <w:keepLines w:val="0"/>
        <w:spacing w:after="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2. Análisis de Umbrales y Casos Borde Operacionales</w:t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spacing w:after="0" w:afterAutospacing="0" w:before="24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Límite de Antigüedad (D = 7):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Solicitudes que ingresan con exactamente 7 días desde la compra superan satisfactoriamente la validación temporal; sin embargo, transacciones con 8 o más días son derivadas de forma automática a la ruta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Rechazo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. Del mismo modo, cualquier producto registrado con el estado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0"/>
          <w:szCs w:val="20"/>
          <w:rtl w:val="0"/>
        </w:rPr>
        <w:t xml:space="preserve">danado_por_uso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anula la variable de tiempo y es rechazado de inmediato.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spacing w:after="240" w:before="0" w:before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Límite de Monto (U = 74.000):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Transacciones que alcanzan un monto exacto de $74.000 continúan su flujo estándar, mientras que montos superiores ($74.001 en adelante) o productos con fallas técnicas se desvían de manera mandatoria a la ruta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Revisión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50">
      <w:pPr>
        <w:keepNext w:val="0"/>
        <w:keepLines w:val="0"/>
        <w:spacing w:after="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3. Resiliencia de la Arquitectura de Automatización</w:t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spacing w:after="240" w:before="24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El diseño de los flujos incorpora un manejo controlado de excepciones y respuestas HTTP normalizadas mediante el nodo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Respond to Webhook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asegurando que fallas puntuales en la red o en servicios externos no comprometan la integridad de los registros almacenados en la base de datos o planilla de control.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40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Verdana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spacing w:line="240" w:lineRule="auto"/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16"/>
        <w:szCs w:val="16"/>
        <w:rtl w:val="0"/>
      </w:rPr>
      <w:t xml:space="preserve">ICN-292 — Laboratorio 3 — Carlos Martínez González   |   Página </w:t>
    </w:r>
    <w:r w:rsidDel="00000000" w:rsidR="00000000" w:rsidRPr="00000000"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Times New Roman" w:cs="Times New Roman" w:eastAsia="Times New Roman" w:hAnsi="Times New Roman"/>
        <w:sz w:val="16"/>
        <w:szCs w:val="16"/>
        <w:rtl w:val="0"/>
      </w:rPr>
      <w:t xml:space="preserve"> de </w:t>
    </w:r>
    <w:r w:rsidDel="00000000" w:rsidR="00000000" w:rsidRPr="00000000"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5">
    <w:pPr>
      <w:jc w:val="right"/>
      <w:rPr/>
    </w:pPr>
    <w:r w:rsidDel="00000000" w:rsidR="00000000" w:rsidRPr="00000000">
      <w:rPr/>
      <w:drawing>
        <wp:inline distB="114300" distT="114300" distL="114300" distR="114300">
          <wp:extent cx="1720471" cy="344094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20471" cy="344094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