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  <w:r>
        <w:drawing>
          <wp:inline xmlns:a="http://schemas.openxmlformats.org/drawingml/2006/main" xmlns:pic="http://schemas.openxmlformats.org/drawingml/2006/picture">
            <wp:extent cx="1737360" cy="909218"/>
            <wp:docPr id="1" name="Picture 1" title="Logo ISTAT" descr="Logo dell’Istituto Nazionale di Statis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st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0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0" w:after="160"/>
      </w:pPr>
      <w:r>
        <w:rPr>
          <w:rFonts w:ascii="Calibri" w:hAnsi="Calibri"/>
          <w:b/>
          <w:color w:val="2E74B5"/>
          <w:sz w:val="22"/>
        </w:rPr>
        <w:t>DOCUMENTO DI PROGETTAZIONE</w:t>
      </w:r>
    </w:p>
    <w:p>
      <w:pPr>
        <w:spacing w:after="200"/>
      </w:pPr>
      <w:r>
        <w:rPr>
          <w:rFonts w:ascii="Calibri" w:hAnsi="Calibri"/>
          <w:b/>
          <w:color w:val="0B2545"/>
          <w:sz w:val="56"/>
        </w:rPr>
        <w:t>Progettazione della migrazione su Google Cloud</w:t>
      </w:r>
    </w:p>
    <w:p>
      <w:pPr>
        <w:spacing w:after="880"/>
      </w:pPr>
      <w:r>
        <w:rPr>
          <w:rFonts w:ascii="Calibri" w:hAnsi="Calibri"/>
          <w:color w:val="5F6B7A"/>
          <w:sz w:val="28"/>
        </w:rPr>
        <w:t>Architettura applicativa, sicurezza, dati e processi operativi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Progetto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dati-semantic-schema-assistant-cms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Ambiente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Google Cloud - dev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Progetto GCP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istat-ndc-schema-ass-cms-dev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Regione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europe-west8 (Milano)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Versione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1.0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16/07/2026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Indice dei contenuti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Capitolo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Contenuto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Premessa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Obiettivo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Architettura e progettazione della soluzione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Conclusione</w:t>
            </w:r>
          </w:p>
        </w:tc>
      </w:tr>
    </w:tbl>
    <w:p>
      <w:pPr>
        <w:pStyle w:val="Heading2"/>
      </w:pPr>
      <w:r>
        <w:t>Articolazione del capitolo centrale</w:t>
      </w:r>
    </w:p>
    <w:p>
      <w:pPr>
        <w:pStyle w:val="ListBullet"/>
      </w:pPr>
      <w:r>
        <w:rPr>
          <w:rFonts w:ascii="Calibri" w:hAnsi="Calibri"/>
          <w:sz w:val="21"/>
        </w:rPr>
        <w:t>3.1 Principi architetturali</w:t>
      </w:r>
    </w:p>
    <w:p>
      <w:pPr>
        <w:pStyle w:val="ListBullet"/>
      </w:pPr>
      <w:r>
        <w:rPr>
          <w:rFonts w:ascii="Calibri" w:hAnsi="Calibri"/>
          <w:sz w:val="21"/>
        </w:rPr>
        <w:t>3.2 Architettura logica e componenti</w:t>
      </w:r>
    </w:p>
    <w:p>
      <w:pPr>
        <w:pStyle w:val="ListBullet"/>
      </w:pPr>
      <w:r>
        <w:rPr>
          <w:rFonts w:ascii="Calibri" w:hAnsi="Calibri"/>
          <w:sz w:val="21"/>
        </w:rPr>
        <w:t>3.3 Flusso conversazionale</w:t>
      </w:r>
    </w:p>
    <w:p>
      <w:pPr>
        <w:pStyle w:val="ListBullet"/>
      </w:pPr>
      <w:r>
        <w:rPr>
          <w:rFonts w:ascii="Calibri" w:hAnsi="Calibri"/>
          <w:sz w:val="21"/>
        </w:rPr>
        <w:t>3.4 Progettazione della knowledge base</w:t>
      </w:r>
    </w:p>
    <w:p>
      <w:pPr>
        <w:pStyle w:val="ListBullet"/>
      </w:pPr>
      <w:r>
        <w:rPr>
          <w:rFonts w:ascii="Calibri" w:hAnsi="Calibri"/>
          <w:sz w:val="21"/>
        </w:rPr>
        <w:t>3.5 Pipeline di ingestion</w:t>
      </w:r>
    </w:p>
    <w:p>
      <w:pPr>
        <w:pStyle w:val="ListBullet"/>
      </w:pPr>
      <w:r>
        <w:rPr>
          <w:rFonts w:ascii="Calibri" w:hAnsi="Calibri"/>
          <w:sz w:val="21"/>
        </w:rPr>
        <w:t>3.6 Sicurezza e privacy</w:t>
      </w:r>
    </w:p>
    <w:p>
      <w:pPr>
        <w:pStyle w:val="ListBullet"/>
      </w:pPr>
      <w:r>
        <w:rPr>
          <w:rFonts w:ascii="Calibri" w:hAnsi="Calibri"/>
          <w:sz w:val="21"/>
        </w:rPr>
        <w:t>3.7 Deployment e gestione infrastrutturale</w:t>
      </w:r>
    </w:p>
    <w:p>
      <w:pPr>
        <w:pStyle w:val="ListBullet"/>
      </w:pPr>
      <w:r>
        <w:rPr>
          <w:rFonts w:ascii="Calibri" w:hAnsi="Calibri"/>
          <w:sz w:val="21"/>
        </w:rPr>
        <w:t>3.8 Osservabilità, costi e resilienza</w:t>
      </w:r>
    </w:p>
    <w:p>
      <w:pPr>
        <w:pStyle w:val="ListBullet"/>
      </w:pPr>
      <w:r>
        <w:rPr>
          <w:rFonts w:ascii="Calibri" w:hAnsi="Calibri"/>
          <w:sz w:val="21"/>
        </w:rPr>
        <w:t>3.9 Evoluzione verso test e prod</w:t>
      </w:r>
    </w:p>
    <w:p>
      <w:r>
        <w:br w:type="page"/>
      </w:r>
    </w:p>
    <w:p>
      <w:pPr>
        <w:pStyle w:val="Heading1"/>
      </w:pPr>
      <w:r>
        <w:t>1. Premessa</w:t>
      </w:r>
    </w:p>
    <w:p>
      <w:r>
        <w:rPr>
          <w:rFonts w:ascii="Calibri" w:hAnsi="Calibri"/>
        </w:rPr>
        <w:t>La progettazione descrive la trasformazione di Schema Assistant in una soluzione cloud-native su Google Cloud. Il sistema combina un’interfaccia Angular pubblica, un agent conversazionale privato e una pipeline manuale per alimentare una knowledge base vettoriale a partire da repository GitHub e documenti controllati.</w:t>
      </w:r>
    </w:p>
    <w:p>
      <w:r>
        <w:rPr>
          <w:rFonts w:ascii="Calibri" w:hAnsi="Calibri"/>
        </w:rPr>
        <w:t>L’architettura è stata definita per evitare accoppiamenti tra moduli, credenziali statiche e dipendenze da filesystem locali. Ogni componente applicativo possiede una propria immagine Docker e può essere distribuito senza ricostruire gli altri componenti.</w:t>
      </w:r>
    </w:p>
    <w:p>
      <w:r>
        <w:rPr>
          <w:rFonts w:ascii="Calibri" w:hAnsi="Calibri"/>
        </w:rPr>
        <w:t>Il documento rappresenta lo stato progettuale dell’ambiente dev nel progetto istat-ndc-schema-ass-cms-dev, regione europe-west8. Le scelte privilegiano servizi gestiti, scalabilità a zero, controllo esplicito dei costi e una chiara separazione delle responsabilità.</w:t>
      </w:r>
    </w:p>
    <w:p>
      <w:pPr>
        <w:pStyle w:val="Heading1"/>
        <w:pageBreakBefore/>
      </w:pPr>
      <w:r>
        <w:t>2. Obiettivo</w:t>
      </w:r>
    </w:p>
    <w:p>
      <w:r>
        <w:rPr>
          <w:rFonts w:ascii="Calibri" w:hAnsi="Calibri"/>
        </w:rPr>
        <w:t>L’obiettivo progettuale è fornire una soluzione sicura e manutenibile per interrogare il patrimonio semantico del catalogo. Il sistema deve rispondere usando esclusivamente informazioni presenti nelle collection e deve interrompere il flusso generativo quando il retrieval non restituisce contenuti sufficientemente pertinenti.</w:t>
      </w:r>
    </w:p>
    <w:p>
      <w:r>
        <w:rPr>
          <w:rFonts w:ascii="Calibri" w:hAnsi="Calibri"/>
        </w:rPr>
        <w:t>La progettazione persegue quattro qualità principali:</w:t>
      </w:r>
    </w:p>
    <w:p>
      <w:pPr>
        <w:pStyle w:val="ListBullet"/>
      </w:pPr>
      <w:r>
        <w:rPr>
          <w:rFonts w:ascii="Calibri" w:hAnsi="Calibri"/>
        </w:rPr>
        <w:t>sicurezza by design, con esposizione pubblica limitata al frontend e identità IAM tra servizi;</w:t>
      </w:r>
    </w:p>
    <w:p>
      <w:pPr>
        <w:pStyle w:val="ListBullet"/>
      </w:pPr>
      <w:r>
        <w:rPr>
          <w:rFonts w:ascii="Calibri" w:hAnsi="Calibri"/>
        </w:rPr>
        <w:t>indipendenza del ciclo di vita di frontend, agent, ingestion e infrastruttura;</w:t>
      </w:r>
    </w:p>
    <w:p>
      <w:pPr>
        <w:pStyle w:val="ListBullet"/>
      </w:pPr>
      <w:r>
        <w:rPr>
          <w:rFonts w:ascii="Calibri" w:hAnsi="Calibri"/>
        </w:rPr>
        <w:t>gestione incrementale e tracciabile delle sorgenti della knowledge base;</w:t>
      </w:r>
    </w:p>
    <w:p>
      <w:pPr>
        <w:pStyle w:val="ListBullet"/>
      </w:pPr>
      <w:r>
        <w:rPr>
          <w:rFonts w:ascii="Calibri" w:hAnsi="Calibri"/>
        </w:rPr>
        <w:t>osservabilità dei consumi, degli errori, del routing e della qualità del retrieval.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Confine di fiducia: </w:t>
            </w:r>
            <w:r>
              <w:rPr>
                <w:rFonts w:ascii="Calibri" w:hAnsi="Calibri"/>
                <w:color w:val="1F1F1F"/>
                <w:sz w:val="21"/>
              </w:rPr>
              <w:t>Il browser comunica soltanto con il servizio web pubblico. Il proxy web è il punto di mediazione che valida la richiesta, ottiene l’identità Cloud Run e invoca l’agent privato.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3. Architettura e progettazione della soluzione</w:t>
      </w:r>
    </w:p>
    <w:p>
      <w:pPr>
        <w:pStyle w:val="Heading2"/>
      </w:pPr>
      <w:r>
        <w:t>3.1 Principi architetturali</w:t>
      </w:r>
    </w:p>
    <w:p>
      <w:pPr>
        <w:pStyle w:val="ListBullet"/>
      </w:pPr>
      <w:r>
        <w:rPr>
          <w:rFonts w:ascii="Calibri" w:hAnsi="Calibri"/>
        </w:rPr>
        <w:t>Infrastructure as Code: risorse, IAM e configurazioni runtime sono descritte tramite Terraform;</w:t>
      </w:r>
    </w:p>
    <w:p>
      <w:pPr>
        <w:pStyle w:val="ListBullet"/>
      </w:pPr>
      <w:r>
        <w:rPr>
          <w:rFonts w:ascii="Calibri" w:hAnsi="Calibri"/>
        </w:rPr>
        <w:t>containerizzazione: ciascun modulo possiede un Dockerfile e una pipeline Cloud Build indipendente;</w:t>
      </w:r>
    </w:p>
    <w:p>
      <w:pPr>
        <w:pStyle w:val="ListBullet"/>
      </w:pPr>
      <w:r>
        <w:rPr>
          <w:rFonts w:ascii="Calibri" w:hAnsi="Calibri"/>
        </w:rPr>
        <w:t>statelessness: agent e frontend server non conservano sessioni conversazionali;</w:t>
      </w:r>
    </w:p>
    <w:p>
      <w:pPr>
        <w:pStyle w:val="ListBullet"/>
      </w:pPr>
      <w:r>
        <w:rPr>
          <w:rFonts w:ascii="Calibri" w:hAnsi="Calibri"/>
        </w:rPr>
        <w:t>least privilege: ogni runtime usa un service account dedicato;</w:t>
      </w:r>
    </w:p>
    <w:p>
      <w:pPr>
        <w:pStyle w:val="ListBullet"/>
      </w:pPr>
      <w:r>
        <w:rPr>
          <w:rFonts w:ascii="Calibri" w:hAnsi="Calibri"/>
        </w:rPr>
        <w:t>managed services: Vertex AI, Firestore, Cloud Storage e Cloud Run riducono la gestione operativa;</w:t>
      </w:r>
    </w:p>
    <w:p>
      <w:pPr>
        <w:pStyle w:val="ListBullet"/>
      </w:pPr>
      <w:r>
        <w:rPr>
          <w:rFonts w:ascii="Calibri" w:hAnsi="Calibri"/>
        </w:rPr>
        <w:t>incremental processing: source_uri e source_hash evitano elaborazioni e costi non necessari;</w:t>
      </w:r>
    </w:p>
    <w:p>
      <w:pPr>
        <w:pStyle w:val="ListBullet"/>
      </w:pPr>
      <w:r>
        <w:rPr>
          <w:rFonts w:ascii="Calibri" w:hAnsi="Calibri"/>
        </w:rPr>
        <w:t>defence in depth: IAM, validazione payload, limiti, CSP e controllo di rilevanza proteggono livelli diversi.</w:t>
      </w:r>
    </w:p>
    <w:p>
      <w:pPr>
        <w:pStyle w:val="Heading2"/>
      </w:pPr>
      <w:r>
        <w:t>3.2 Architettura logica e componenti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Flusso principale: </w:t>
            </w:r>
            <w:r>
              <w:rPr>
                <w:rFonts w:ascii="Calibri" w:hAnsi="Calibri"/>
                <w:color w:val="1F1F1F"/>
                <w:sz w:val="21"/>
              </w:rPr>
              <w:t>Browser pubblico → Cloud Run Web → token OIDC → Cloud Run Agent privato → Firestore Vector / Vertex AI. Il job ingestion alimenta Cloud Storage e Firestore su avvio manuale.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900"/>
        <w:gridCol w:w="54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Esecuzione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Responsabilità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Frontend Angular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 Run pubblico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Interfaccia chat, memoria locale, cronologia limitata e gestione errori.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Proxy web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Container frontend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Validazione payload, acquisizione token OIDC e inoltro verso l’agent.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Agent FastAPI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 Run privato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Guardrail, routing, retrieval, prompt, risposta e telemetria token.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Ingestion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 Run Job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Acquisizione sorgenti, parsing, chunking, embedding e report.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 Storage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Servizio gestito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Documenti incoming, raw, processed e report di ingestion.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Firestore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Native mode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Metadata, indici sorgente, asset index e chunk vettoriali.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Vertex AI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Servizio gestito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Embedding gemini-embedding-001 e chat gemini-2.5-flash.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Artifact Registry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Servizio gestito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Repository delle immagini Docker versionate.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 Build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Servizio gestito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Build e push indipendenti di web, agent e ingestion.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Terraform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Esecuzione manuale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Provisioning di API, IAM, Storage, Firestore e Cloud Run.</w:t>
            </w:r>
          </w:p>
        </w:tc>
      </w:tr>
    </w:tbl>
    <w:p>
      <w:pPr>
        <w:spacing w:after="0"/>
      </w:pPr>
    </w:p>
    <w:p>
      <w:pPr>
        <w:pStyle w:val="Heading2"/>
      </w:pPr>
      <w:r>
        <w:t>3.3 Flusso conversazionale</w:t>
      </w:r>
    </w:p>
    <w:p>
      <w:r>
        <w:rPr>
          <w:rFonts w:ascii="Calibri" w:hAnsi="Calibri"/>
        </w:rPr>
        <w:t>Il flusso di una richiesta segue la sequenza progettuale riportata di seguito:</w:t>
      </w:r>
    </w:p>
    <w:p>
      <w:pPr>
        <w:pStyle w:val="ListBullet"/>
      </w:pPr>
      <w:r>
        <w:rPr>
          <w:rFonts w:ascii="Calibri" w:hAnsi="Calibri"/>
        </w:rPr>
        <w:t>il browser raccoglie la domanda e costruisce una history con gli ultimi 12 messaggi;</w:t>
      </w:r>
    </w:p>
    <w:p>
      <w:pPr>
        <w:pStyle w:val="ListBullet"/>
      </w:pPr>
      <w:r>
        <w:rPr>
          <w:rFonts w:ascii="Calibri" w:hAnsi="Calibri"/>
        </w:rPr>
        <w:t>le copie dei messaggi più lunghi vengono abbreviate a 2.000 caratteri, mentre l’interfaccia conserva il testo completo;</w:t>
      </w:r>
    </w:p>
    <w:p>
      <w:pPr>
        <w:pStyle w:val="ListBullet"/>
      </w:pPr>
      <w:r>
        <w:rPr>
          <w:rFonts w:ascii="Calibri" w:hAnsi="Calibri"/>
        </w:rPr>
        <w:t>il proxy controlla metodo, content type, dimensione del body, ruoli e limiti;</w:t>
      </w:r>
    </w:p>
    <w:p>
      <w:pPr>
        <w:pStyle w:val="ListBullet"/>
      </w:pPr>
      <w:r>
        <w:rPr>
          <w:rFonts w:ascii="Calibri" w:hAnsi="Calibri"/>
        </w:rPr>
        <w:t>il proxy ottiene dal metadata server un ID token con audience pari all’URL dell’agent;</w:t>
      </w:r>
    </w:p>
    <w:p>
      <w:pPr>
        <w:pStyle w:val="ListBullet"/>
      </w:pPr>
      <w:r>
        <w:rPr>
          <w:rFonts w:ascii="Calibri" w:hAnsi="Calibri"/>
        </w:rPr>
        <w:t>l’agent applica guardrail, kill switch e risposte statiche;</w:t>
      </w:r>
    </w:p>
    <w:p>
      <w:pPr>
        <w:pStyle w:val="ListBullet"/>
      </w:pPr>
      <w:r>
        <w:rPr>
          <w:rFonts w:ascii="Calibri" w:hAnsi="Calibri"/>
        </w:rPr>
        <w:t>il routing individua ente e risorsa tramite configurazione tecnica e lessico di dominio;</w:t>
      </w:r>
    </w:p>
    <w:p>
      <w:pPr>
        <w:pStyle w:val="ListBullet"/>
      </w:pPr>
      <w:r>
        <w:rPr>
          <w:rFonts w:ascii="Calibri" w:hAnsi="Calibri"/>
        </w:rPr>
        <w:t>la domanda viene convertita in embedding e interrogata sugli indici Firestore pertinenti;</w:t>
      </w:r>
    </w:p>
    <w:p>
      <w:pPr>
        <w:pStyle w:val="ListBullet"/>
      </w:pPr>
      <w:r>
        <w:rPr>
          <w:rFonts w:ascii="Calibri" w:hAnsi="Calibri"/>
        </w:rPr>
        <w:t>asset_index supporta elenchi e conteggi, mentre i chunk supportano domande semantiche;</w:t>
      </w:r>
    </w:p>
    <w:p>
      <w:pPr>
        <w:pStyle w:val="ListBullet"/>
      </w:pPr>
      <w:r>
        <w:rPr>
          <w:rFonts w:ascii="Calibri" w:hAnsi="Calibri"/>
        </w:rPr>
        <w:t>i chunk con distanza superiore a RAG_MAX_DISTANCE=0.45 vengono eliminati;</w:t>
      </w:r>
    </w:p>
    <w:p>
      <w:pPr>
        <w:pStyle w:val="ListBullet"/>
      </w:pPr>
      <w:r>
        <w:rPr>
          <w:rFonts w:ascii="Calibri" w:hAnsi="Calibri"/>
        </w:rPr>
        <w:t>se non resta contesto, la richiesta termina senza chiamare il modello chat;</w:t>
      </w:r>
    </w:p>
    <w:p>
      <w:pPr>
        <w:pStyle w:val="ListBullet"/>
      </w:pPr>
      <w:r>
        <w:rPr>
          <w:rFonts w:ascii="Calibri" w:hAnsi="Calibri"/>
        </w:rPr>
        <w:t>in presenza di contesto, Vertex AI genera una risposta ancorata e l’API restituisce fonti, usage e request_id.</w:t>
      </w:r>
    </w:p>
    <w:p>
      <w:pPr>
        <w:pStyle w:val="Heading2"/>
      </w:pPr>
      <w:r>
        <w:t>3.4 Progettazione della knowledge base</w:t>
      </w:r>
    </w:p>
    <w:p>
      <w:pPr>
        <w:pStyle w:val="Heading3"/>
      </w:pPr>
      <w:r>
        <w:t>3.4.1 Cloud Storage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Prefisso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Contenuto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incoming/docs/{filename}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PDF e CSV caricati manualmente dagli operatori.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raw/github/{ente}/{risorsa}/{hash}/{path}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Copia originale degli asset acquisiti dai repository.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raw/docs/{hash}/{filename}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Area disponibile per documenti locali di sviluppo.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processed/{ente}/{risorsa}/{hash}.json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Rappresentazione processata e metadati estratti.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reports/ingestion/{timestamp}.json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Esito completo di ogni esecuzione del job.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Il bucket usa accesso uniforme, prevenzione dell’accesso pubblico e versioning. I documenti in incoming/docs non vengono incorporati nell’immagine Docker e sono scaricati in /tmp soltanto durante l’elaborazione.</w:t>
      </w:r>
    </w:p>
    <w:p>
      <w:pPr>
        <w:pStyle w:val="Heading3"/>
      </w:pPr>
      <w:r>
        <w:t>3.4.2 Firestore</w:t>
      </w:r>
    </w:p>
    <w:p>
      <w:r>
        <w:rPr>
          <w:rFonts w:ascii="Calibri" w:hAnsi="Calibri"/>
        </w:rPr>
        <w:t>La struttura gerarchica distribuisce i chunk in sotto-collection e shard stabili: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Modello: </w:t>
            </w:r>
            <w:r>
              <w:rPr>
                <w:rFonts w:ascii="Calibri" w:hAnsi="Calibri"/>
                <w:color w:val="1F1F1F"/>
                <w:sz w:val="21"/>
              </w:rPr>
              <w:t>entities/{ente}/resources/{risorsa}/shards/{shard}/chunks/{chunk_id}; sotto ogni risorsa sono presenti anche sources, source_index e asset_index.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Sotto-collection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Funzione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sources/{source_hash}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Descrive una specifica versione del contenuto.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source_index/{source_uri_hash}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Mantiene stato, hash corrente e numero di chunk per l’identità logica.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asset_index/{source_uri_hash}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Titolo, percorso, formato, label, keyword e riferimenti Storage.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shards/{shard}/chunks/{chunk_id}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Testo, embedding, source, indice chunk e metadata.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La collection group chunks dispone di un indice vettoriale globale e di indici compositi per entity_id, resource_id e combinazione dei due campi. La dimensione degli embedding è fissata a 2048, compatibile con il limite degli indici Firestore.</w:t>
      </w:r>
    </w:p>
    <w:p>
      <w:pPr>
        <w:pStyle w:val="Heading3"/>
      </w:pPr>
      <w:r>
        <w:t>3.4.3 Routing e retrieval ibrido</w:t>
      </w:r>
    </w:p>
    <w:p>
      <w:r>
        <w:rPr>
          <w:rFonts w:ascii="Calibri" w:hAnsi="Calibri"/>
        </w:rPr>
        <w:t>Il routing combina config/resources.json, config/routing_lexicon.json e segnali estratti dagli asset. I termini generici non sono sufficienti a restringere una ricerca; solo i segnali distintivi attivano i prefiltri. Questo riduce il rischio che una domanda generica venga associata a un ente non pertinente.</w:t>
      </w:r>
    </w:p>
    <w:p>
      <w:pPr>
        <w:pStyle w:val="ListBullet"/>
      </w:pPr>
      <w:r>
        <w:rPr>
          <w:rFonts w:ascii="Calibri" w:hAnsi="Calibri"/>
        </w:rPr>
        <w:t>query deterministiche: metadata sintetici da asset_index;</w:t>
      </w:r>
    </w:p>
    <w:p>
      <w:pPr>
        <w:pStyle w:val="ListBullet"/>
      </w:pPr>
      <w:r>
        <w:rPr>
          <w:rFonts w:ascii="Calibri" w:hAnsi="Calibri"/>
        </w:rPr>
        <w:t>query semantiche: ricerca per vicinanza sui chunk;</w:t>
      </w:r>
    </w:p>
    <w:p>
      <w:pPr>
        <w:pStyle w:val="ListBullet"/>
      </w:pPr>
      <w:r>
        <w:rPr>
          <w:rFonts w:ascii="Calibri" w:hAnsi="Calibri"/>
        </w:rPr>
        <w:t>query filtrate: indici compositi ente/risorsa prima del nearest-neighbor;</w:t>
      </w:r>
    </w:p>
    <w:p>
      <w:pPr>
        <w:pStyle w:val="ListBullet"/>
      </w:pPr>
      <w:r>
        <w:rPr>
          <w:rFonts w:ascii="Calibri" w:hAnsi="Calibri"/>
        </w:rPr>
        <w:t>documentazione generale: ricerca secondaria limitata su catalog/context_documents;</w:t>
      </w:r>
    </w:p>
    <w:p>
      <w:pPr>
        <w:pStyle w:val="ListBullet"/>
      </w:pPr>
      <w:r>
        <w:rPr>
          <w:rFonts w:ascii="Calibri" w:hAnsi="Calibri"/>
        </w:rPr>
        <w:t>controllo perimetro: soglia vettoriale e risposta standard in assenza di contesto.</w:t>
      </w:r>
    </w:p>
    <w:p>
      <w:pPr>
        <w:pStyle w:val="Heading2"/>
      </w:pPr>
      <w:r>
        <w:t>3.5 Pipeline di ingestion</w:t>
      </w:r>
    </w:p>
    <w:p>
      <w:r>
        <w:rPr>
          <w:rFonts w:ascii="Calibri" w:hAnsi="Calibri"/>
        </w:rPr>
        <w:t>Il job è progettato come processo batch manuale. Non esiste scheduler: l’operatore decide quando acquisire nuove versioni dei repository o aggiornare i documenti caricati su Storage.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6760"/>
      </w:tblGrid>
      <w:tr>
        <w:trPr>
          <w:tblHeader w:val="true"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Fase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Attività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Descrizione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Discovery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Lettura entities_config, clone in /tmp e selezione latest con fallback ricorsivo.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Acquisizione documenti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Elenco e download dei file PDF/CSV da incoming/docs/.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Hash e stato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Calcolo source_hash e verifica del source_index per skip o reprocess.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Parsing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Estrazione contenuti e metadati da TTL, YAML, PDF e CSV.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Persistenza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Scrittura asset raw e processed su Cloud Storage.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Chunking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Segmentazione con overlap e confini testuali leggibili.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Embedding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Generazione vettori Vertex AI in batch controllati.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Indicizzazione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Scrittura chunk, source_index e asset_index in Firestore.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Report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Produzione del report JSON e logging dell’esito per sorgente.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Il job usa 4 GiB di memoria e batch Firestore ridotti per gestire vocabolari di grandi dimensioni. Le sorgenti rimaste in processing dopo un’interruzione vengono riprocessate alla successiva esecuzione. I PDF senza testo estratto producono un errore che indica la necessità di OCR; quelli parzialmente leggibili generano un warning.</w:t>
      </w:r>
    </w:p>
    <w:p>
      <w:pPr>
        <w:pStyle w:val="Heading2"/>
      </w:pPr>
      <w:r>
        <w:t>3.6 Sicurezza e privacy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Controllo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Progettazione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Esposizione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Solo schema-assistant-web-dev è pubblico; l’agent richiede autenticazione IAM.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Identità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Service account distinti per web, agent e ingestion.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Web →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Token OIDC generato dal metadata server con audience dell’agent.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Storage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Public access prevention, uniform bucket-level access e versioning.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Payload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Limiti su body, messaggio, history, ruoli e numero di messaggi.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Browser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Nessun token IAM; conversazione soltanto in memoria della pagina.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Persistenza chat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Assente in Firestore, Storage, localStorage e runtime server.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Transport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HTTPS terminato e gestito da Cloud Run.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Segreti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Nessuna coppia di chiavi A2A; nessuna credenziale applicativa statica.</w:t>
            </w:r>
          </w:p>
        </w:tc>
      </w:tr>
    </w:tbl>
    <w:p>
      <w:pPr>
        <w:spacing w:after="0"/>
      </w:pPr>
    </w:p>
    <w:p>
      <w:pPr>
        <w:pStyle w:val="Heading2"/>
      </w:pPr>
      <w:r>
        <w:t>3.7 Deployment e gestione infrastrutturale</w:t>
      </w:r>
    </w:p>
    <w:p>
      <w:r>
        <w:rPr>
          <w:rFonts w:ascii="Calibri" w:hAnsi="Calibri"/>
        </w:rPr>
        <w:t>Terraform gestisce servizi, IAM, database, bucket, indici e configurazione Cloud Run. Le immagini applicative sono volutamente escluse dal controllo di drift tramite lifecycle ignore_changes, perché in dev sono aggiornate da Cloud Build e gcloud.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Ambito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Artefatto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Deploy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Infrastruttura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infra/envs/dev e moduli condivisi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terraform plan/apply manuale dopo revisione del piano.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Agent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services/agent/Dockerfile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cloudbuild.agent.yaml e update del servizio agent.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Ingestion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jobs/ingestion/Dockerfile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cloudbuild.ingestion.yaml e update del job.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Frontend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apps/web/Dockerfile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cloudbuild.web.yaml e update del servizio web.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Il piano Terraform deve essere controllato prima di ogni apply. In particolare, una variazione del nome bucket può forzare la sostituzione della risorsa e deve essere bloccata se non esplicitamente prevista. Firestore usa una policy di abbandono per evitare cancellazioni accidentali.</w:t>
      </w:r>
    </w:p>
    <w:p>
      <w:pPr>
        <w:pStyle w:val="Heading2"/>
      </w:pPr>
      <w:r>
        <w:t>3.8 Osservabilità, costi e resilienza</w:t>
      </w:r>
    </w:p>
    <w:p>
      <w:pPr>
        <w:pStyle w:val="ListBullet"/>
      </w:pPr>
      <w:r>
        <w:rPr>
          <w:rFonts w:ascii="Calibri" w:hAnsi="Calibri"/>
        </w:rPr>
        <w:t>request_id propagato e restituito al client per correlare richieste e log;</w:t>
      </w:r>
    </w:p>
    <w:p>
      <w:pPr>
        <w:pStyle w:val="ListBullet"/>
      </w:pPr>
      <w:r>
        <w:rPr>
          <w:rFonts w:ascii="Calibri" w:hAnsi="Calibri"/>
        </w:rPr>
        <w:t>logging JSON con latenze, token, finish reason, entity/resource routing e numero di fonti;</w:t>
      </w:r>
    </w:p>
    <w:p>
      <w:pPr>
        <w:pStyle w:val="ListBullet"/>
      </w:pPr>
      <w:r>
        <w:rPr>
          <w:rFonts w:ascii="Calibri" w:hAnsi="Calibri"/>
        </w:rPr>
        <w:t>logging di best_distance, max_distance e chunk scartati per calibrare la rilevanza;</w:t>
      </w:r>
    </w:p>
    <w:p>
      <w:pPr>
        <w:pStyle w:val="ListBullet"/>
      </w:pPr>
      <w:r>
        <w:rPr>
          <w:rFonts w:ascii="Calibri" w:hAnsi="Calibri"/>
        </w:rPr>
        <w:t>usage token e cost_status inclusi nella risposta API;</w:t>
      </w:r>
    </w:p>
    <w:p>
      <w:pPr>
        <w:pStyle w:val="ListBullet"/>
      </w:pPr>
      <w:r>
        <w:rPr>
          <w:rFonts w:ascii="Calibri" w:hAnsi="Calibri"/>
        </w:rPr>
        <w:t>COST_STATUS=blocked come kill switch operativo;</w:t>
      </w:r>
    </w:p>
    <w:p>
      <w:pPr>
        <w:pStyle w:val="ListBullet"/>
      </w:pPr>
      <w:r>
        <w:rPr>
          <w:rFonts w:ascii="Calibri" w:hAnsi="Calibri"/>
        </w:rPr>
        <w:t>istanze minime pari a zero e massimo tre per web e agent;</w:t>
      </w:r>
    </w:p>
    <w:p>
      <w:pPr>
        <w:pStyle w:val="ListBullet"/>
      </w:pPr>
      <w:r>
        <w:rPr>
          <w:rFonts w:ascii="Calibri" w:hAnsi="Calibri"/>
        </w:rPr>
        <w:t>job ingestion manuale, senza retry automatici, per evitare duplicazioni e consumi inattesi;</w:t>
      </w:r>
    </w:p>
    <w:p>
      <w:pPr>
        <w:pStyle w:val="ListBullet"/>
      </w:pPr>
      <w:r>
        <w:rPr>
          <w:rFonts w:ascii="Calibri" w:hAnsi="Calibri"/>
        </w:rPr>
        <w:t>source_hash e batch incrementali per evitare embedding non necessari;</w:t>
      </w:r>
    </w:p>
    <w:p>
      <w:pPr>
        <w:pStyle w:val="ListBullet"/>
      </w:pPr>
      <w:r>
        <w:rPr>
          <w:rFonts w:ascii="Calibri" w:hAnsi="Calibri"/>
        </w:rPr>
        <w:t>report ingestion persistenti per audit operativo e analisi degli errori.</w:t>
      </w:r>
    </w:p>
    <w:p>
      <w:r>
        <w:rPr>
          <w:rFonts w:ascii="Calibri" w:hAnsi="Calibri"/>
        </w:rPr>
        <w:t>La risposta fuori perimetro evita la chiamata al modello chat, ma richiede comunque l’embedding della domanda necessario a valutare la pertinenza. Gli alert economici nativi di Google Cloud e soglie di budget centralizzate sono previsti come completamento della fase produttiva.</w:t>
      </w:r>
    </w:p>
    <w:p>
      <w:pPr>
        <w:pStyle w:val="Heading2"/>
      </w:pPr>
      <w:r>
        <w:t>3.9 Evoluzione verso test e prod</w:t>
      </w:r>
    </w:p>
    <w:p>
      <w:r>
        <w:rPr>
          <w:rFonts w:ascii="Calibri" w:hAnsi="Calibri"/>
        </w:rPr>
        <w:t>I moduli Terraform e le pipeline applicative sono predisposti per l’estensione ad ambienti successivi. Ogni ambiente dovrà avere state, service account, bucket, configurazioni, URL e policy separati. La promozione delle immagini dovrà utilizzare tag immutabili e controlli automatici.</w:t>
      </w:r>
    </w:p>
    <w:p>
      <w:pPr>
        <w:pStyle w:val="ListBullet"/>
      </w:pPr>
      <w:r>
        <w:rPr>
          <w:rFonts w:ascii="Calibri" w:hAnsi="Calibri"/>
        </w:rPr>
        <w:t>GitHub Actions con Workload Identity Federation e assenza di chiavi JSON;</w:t>
      </w:r>
    </w:p>
    <w:p>
      <w:pPr>
        <w:pStyle w:val="ListBullet"/>
      </w:pPr>
      <w:r>
        <w:rPr>
          <w:rFonts w:ascii="Calibri" w:hAnsi="Calibri"/>
        </w:rPr>
        <w:t>approvazioni e controlli automatici per plan/apply e promozione immagini;</w:t>
      </w:r>
    </w:p>
    <w:p>
      <w:pPr>
        <w:pStyle w:val="ListBullet"/>
      </w:pPr>
      <w:r>
        <w:rPr>
          <w:rFonts w:ascii="Calibri" w:hAnsi="Calibri"/>
        </w:rPr>
        <w:t>rate limiting e protezioni anti-abuso per il frontend pubblico;</w:t>
      </w:r>
    </w:p>
    <w:p>
      <w:pPr>
        <w:pStyle w:val="ListBullet"/>
      </w:pPr>
      <w:r>
        <w:rPr>
          <w:rFonts w:ascii="Calibri" w:hAnsi="Calibri"/>
        </w:rPr>
        <w:t>SLO, alerting, dashboard, budget e notifiche centralizzate;</w:t>
      </w:r>
    </w:p>
    <w:p>
      <w:pPr>
        <w:pStyle w:val="ListBullet"/>
      </w:pPr>
      <w:r>
        <w:rPr>
          <w:rFonts w:ascii="Calibri" w:hAnsi="Calibri"/>
        </w:rPr>
        <w:t>backup, restore testati e retention differenziata per ambiente;</w:t>
      </w:r>
    </w:p>
    <w:p>
      <w:pPr>
        <w:pStyle w:val="ListBullet"/>
      </w:pPr>
      <w:r>
        <w:rPr>
          <w:rFonts w:ascii="Calibri" w:hAnsi="Calibri"/>
        </w:rPr>
        <w:t>valutazione di dominio personalizzato, CDN e policy organizzative per prod.</w:t>
      </w:r>
    </w:p>
    <w:p>
      <w:pPr>
        <w:pStyle w:val="Heading1"/>
        <w:pageBreakBefore/>
      </w:pPr>
      <w:r>
        <w:t>4. Conclusione</w:t>
      </w:r>
    </w:p>
    <w:p>
      <w:r>
        <w:rPr>
          <w:rFonts w:ascii="Calibri" w:hAnsi="Calibri"/>
        </w:rPr>
        <w:t>La progettazione separa chiaramente il canale pubblico, il servizio intelligente privato e il processo amministrativo di alimentazione dei dati. Questa separazione riduce la superficie di attacco, limita i costi e consente aggiornamenti indipendenti dei componenti.</w:t>
      </w:r>
    </w:p>
    <w:p>
      <w:r>
        <w:rPr>
          <w:rFonts w:ascii="Calibri" w:hAnsi="Calibri"/>
        </w:rPr>
        <w:t>La knowledge base combina indici metadata e ricerca vettoriale, mantenendo una struttura Firestore scalabile per ente e risorsa. La pipeline incrementale evita elaborazioni ridondanti, mentre la soglia di rilevanza impedisce all’agent di trattare il risultato semanticamente più vicino come automaticamente valido.</w:t>
      </w:r>
    </w:p>
    <w:p>
      <w:r>
        <w:rPr>
          <w:rFonts w:ascii="Calibri" w:hAnsi="Calibri"/>
        </w:rPr>
        <w:t>L’ambiente dev costituisce quindi un’implementazione completa e una base progettuale riutilizzabile. Il passaggio a test e prod richiederà il rafforzamento delle automazioni, del rate limiting, degli alert economici e degli obiettivi di servizio, senza modificare i confini architetturali fondamentali.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Sintesi architetturale: </w:t>
            </w:r>
            <w:r>
              <w:rPr>
                <w:rFonts w:ascii="Calibri" w:hAnsi="Calibri"/>
                <w:color w:val="1F1F1F"/>
                <w:sz w:val="21"/>
              </w:rPr>
              <w:t>Frontend pubblico e stateless, agent privato e grounded, ingestion manuale e incrementale, dati gestiti su Storage e Firestore, modelli erogati tramite Vertex AI.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Calibri" w:hAnsi="Calibri"/>
        <w:color w:val="5F6B7A"/>
        <w:sz w:val="18"/>
      </w:rPr>
      <w:t>Uso interno - Ambiente dev</w:t>
    </w:r>
    <w:r>
      <w:tab/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8"/>
      </w:rPr>
      <w:t>SCHEMA ASSISTANT  |  Migrazione Google Cloud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