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2A30DB">
      <w:pPr>
        <w:pStyle w:val="2"/>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Predictive Modeling of Soil Organic Carbon Stocks</w:t>
      </w:r>
    </w:p>
    <w:p w14:paraId="326C7FBA">
      <w:pPr>
        <w:pStyle w:val="3"/>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1. Introduction</w:t>
      </w:r>
    </w:p>
    <w:p w14:paraId="714697FA">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Soil organic carbon (SOC) stocks are a critical component of carbon cycling and a key indicator for soil health and carbon credit projects. This report outlines the methodology, results, and interpretation of a predictive modeling exercise using SOC sample data collected from 80 sites in the rangelands north of Mount Kenya between March 1, 2023 and February 29, 2024. The goal is to build a reproducible Random Forest model to estimate relative SOC stocks, evaluate its performance, and generate a spatial prediction across the defined study area.</w:t>
      </w:r>
    </w:p>
    <w:p w14:paraId="33E9DF02">
      <w:pPr>
        <w:pStyle w:val="3"/>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2. Data &amp; Study Area Definition</w:t>
      </w:r>
    </w:p>
    <w:p w14:paraId="4BAC3FAD">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 Sample Data: SOC_samples.csv (80 plots), containing: plot_no, MgC_per_ha (mean-centered), MgC_SE, longitude, latitude.</w:t>
      </w:r>
    </w:p>
    <w:p w14:paraId="7CFDFDA4">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 Modeling Domain: Defined as the bounding rectangle around sample locations buffered by 0.02° (~2 km) in all directions to limit extrapolation beyond observed conditions.</w:t>
      </w:r>
    </w:p>
    <w:p w14:paraId="0E9B9BF3">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p>
    <w:p w14:paraId="1A3E7B69">
      <w:pPr>
        <w:pageBreakBefore w:val="0"/>
        <w:widowControl/>
        <w:kinsoku/>
        <w:wordWrap/>
        <w:overflowPunct/>
        <w:topLinePunct w:val="0"/>
        <w:autoSpaceDE/>
        <w:autoSpaceDN/>
        <w:bidi w:val="0"/>
        <w:adjustRightInd/>
        <w:snapToGrid/>
        <w:spacing w:after="0" w:line="480" w:lineRule="auto"/>
        <w:jc w:val="center"/>
        <w:textAlignment w:val="auto"/>
        <w:rPr>
          <w:rFonts w:hint="default" w:ascii="Cambria" w:hAnsi="Cambria" w:cs="Cambria"/>
          <w:color w:val="000000" w:themeColor="text1"/>
          <w:lang w:val="en-GB"/>
          <w14:textFill>
            <w14:solidFill>
              <w14:schemeClr w14:val="tx1"/>
            </w14:solidFill>
          </w14:textFill>
        </w:rPr>
      </w:pPr>
      <w:r>
        <w:rPr>
          <w:rFonts w:hint="default" w:ascii="Cambria" w:hAnsi="Cambria" w:cs="Cambria"/>
          <w:color w:val="000000" w:themeColor="text1"/>
          <w:lang w:val="en-GB"/>
          <w14:textFill>
            <w14:solidFill>
              <w14:schemeClr w14:val="tx1"/>
            </w14:solidFill>
          </w14:textFill>
        </w:rPr>
        <w:drawing>
          <wp:inline distT="0" distB="0" distL="114300" distR="114300">
            <wp:extent cx="5414645" cy="2835910"/>
            <wp:effectExtent l="0" t="0" r="3175" b="6350"/>
            <wp:docPr id="1" name="Picture 1" descr="Study_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udy_area"/>
                    <pic:cNvPicPr>
                      <a:picLocks noChangeAspect="1"/>
                    </pic:cNvPicPr>
                  </pic:nvPicPr>
                  <pic:blipFill>
                    <a:blip r:embed="rId6"/>
                    <a:stretch>
                      <a:fillRect/>
                    </a:stretch>
                  </pic:blipFill>
                  <pic:spPr>
                    <a:xfrm>
                      <a:off x="0" y="0"/>
                      <a:ext cx="5414645" cy="2835910"/>
                    </a:xfrm>
                    <a:prstGeom prst="rect">
                      <a:avLst/>
                    </a:prstGeom>
                  </pic:spPr>
                </pic:pic>
              </a:graphicData>
            </a:graphic>
          </wp:inline>
        </w:drawing>
      </w:r>
    </w:p>
    <w:p w14:paraId="700C827C">
      <w:pPr>
        <w:pStyle w:val="3"/>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lang w:val="en-GB"/>
          <w14:textFill>
            <w14:solidFill>
              <w14:schemeClr w14:val="tx1"/>
            </w14:solidFill>
          </w14:textFill>
        </w:rPr>
      </w:pPr>
      <w:r>
        <w:rPr>
          <w:rFonts w:hint="default" w:ascii="Cambria" w:hAnsi="Cambria" w:cs="Cambria"/>
          <w:color w:val="000000" w:themeColor="text1"/>
          <w14:textFill>
            <w14:solidFill>
              <w14:schemeClr w14:val="tx1"/>
            </w14:solidFill>
          </w14:textFill>
        </w:rPr>
        <w:t>3. Method</w:t>
      </w:r>
      <w:r>
        <w:rPr>
          <w:rFonts w:hint="default" w:ascii="Cambria" w:hAnsi="Cambria" w:cs="Cambria"/>
          <w:color w:val="000000" w:themeColor="text1"/>
          <w:lang w:val="en-GB"/>
          <w14:textFill>
            <w14:solidFill>
              <w14:schemeClr w14:val="tx1"/>
            </w14:solidFill>
          </w14:textFill>
        </w:rPr>
        <w:t>ology</w:t>
      </w:r>
    </w:p>
    <w:p w14:paraId="6B9BE6FC">
      <w:pPr>
        <w:pStyle w:val="4"/>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3.1 Data Processing &amp; Predictor Extraction</w:t>
      </w:r>
    </w:p>
    <w:p w14:paraId="2ADA144F">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 Imported SOC_samples.csv and confirmed no missing values.</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Extracted elevation, annual precipitation, mean NDVI, and dominant landcover via Google Earth Engine.</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Merged predictors into soc_training_data.csv.</w:t>
      </w:r>
    </w:p>
    <w:p w14:paraId="4A5C4166">
      <w:pPr>
        <w:pStyle w:val="4"/>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3.2 Exploratory Analysis &amp; Outlier Detection</w:t>
      </w:r>
    </w:p>
    <w:p w14:paraId="4D48D187">
      <w:pPr>
        <w:keepNext w:val="0"/>
        <w:keepLines w:val="0"/>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 Summary stats: mean MgC/ha ≈ 0, SD ≈ 22 MgC/ha, range [–48.85, +67.71].</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Distribution plots (histogram, KDE), Q–Q normality, folium map of SOC.</w:t>
      </w:r>
    </w:p>
    <w:p w14:paraId="5DEF932D">
      <w:pPr>
        <w:keepNext w:val="0"/>
        <w:keepLines w:val="0"/>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 Outliers beyond 1.5×IQR retained to represent true extremes.</w:t>
      </w:r>
    </w:p>
    <w:p w14:paraId="3093AC1F">
      <w:pPr>
        <w:pageBreakBefore w:val="0"/>
        <w:widowControl/>
        <w:kinsoku/>
        <w:wordWrap/>
        <w:overflowPunct/>
        <w:topLinePunct w:val="0"/>
        <w:autoSpaceDE/>
        <w:autoSpaceDN/>
        <w:bidi w:val="0"/>
        <w:adjustRightInd/>
        <w:snapToGrid/>
        <w:spacing w:after="0" w:line="480" w:lineRule="auto"/>
        <w:jc w:val="center"/>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drawing>
          <wp:inline distT="0" distB="0" distL="114300" distR="114300">
            <wp:extent cx="5601970" cy="1828165"/>
            <wp:effectExtent l="9525" t="9525" r="12065" b="13970"/>
            <wp:docPr id="3" name="Picture 3" descr="Normality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ormality Assessment"/>
                    <pic:cNvPicPr>
                      <a:picLocks noChangeAspect="1"/>
                    </pic:cNvPicPr>
                  </pic:nvPicPr>
                  <pic:blipFill>
                    <a:blip r:embed="rId7"/>
                    <a:stretch>
                      <a:fillRect/>
                    </a:stretch>
                  </pic:blipFill>
                  <pic:spPr>
                    <a:xfrm>
                      <a:off x="0" y="0"/>
                      <a:ext cx="5601970" cy="1828165"/>
                    </a:xfrm>
                    <a:prstGeom prst="rect">
                      <a:avLst/>
                    </a:prstGeom>
                    <a:ln>
                      <a:solidFill>
                        <a:schemeClr val="tx1"/>
                      </a:solidFill>
                    </a:ln>
                  </pic:spPr>
                </pic:pic>
              </a:graphicData>
            </a:graphic>
          </wp:inline>
        </w:drawing>
      </w:r>
    </w:p>
    <w:p w14:paraId="7E997171">
      <w:pPr>
        <w:pStyle w:val="4"/>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3.3 Feature Selection</w:t>
      </w:r>
    </w:p>
    <w:p w14:paraId="4B94FBAD">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 MRMR via Spearman: ranked elevation, NDVI, precipitation, landcover by |ρ| with MgC/ha.</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Selected top four with inter-indicator |ρ| &lt; 0.8.</w:t>
      </w:r>
    </w:p>
    <w:p w14:paraId="293EF982">
      <w:pPr>
        <w:pageBreakBefore w:val="0"/>
        <w:widowControl/>
        <w:kinsoku/>
        <w:wordWrap/>
        <w:overflowPunct/>
        <w:topLinePunct w:val="0"/>
        <w:autoSpaceDE/>
        <w:autoSpaceDN/>
        <w:bidi w:val="0"/>
        <w:adjustRightInd/>
        <w:snapToGrid/>
        <w:spacing w:after="0" w:line="480" w:lineRule="auto"/>
        <w:jc w:val="center"/>
        <w:textAlignment w:val="auto"/>
        <w:rPr>
          <w:rFonts w:hint="default" w:ascii="Cambria" w:hAnsi="Cambria" w:cs="Cambria"/>
          <w:color w:val="000000" w:themeColor="text1"/>
          <w:lang w:val="en-GB"/>
          <w14:textFill>
            <w14:solidFill>
              <w14:schemeClr w14:val="tx1"/>
            </w14:solidFill>
          </w14:textFill>
        </w:rPr>
      </w:pPr>
      <w:r>
        <w:rPr>
          <w:rFonts w:hint="default" w:ascii="Cambria" w:hAnsi="Cambria" w:cs="Cambria"/>
          <w:color w:val="000000" w:themeColor="text1"/>
          <w:lang w:val="en-GB"/>
          <w14:textFill>
            <w14:solidFill>
              <w14:schemeClr w14:val="tx1"/>
            </w14:solidFill>
          </w14:textFill>
        </w:rPr>
        <w:drawing>
          <wp:inline distT="0" distB="0" distL="114300" distR="114300">
            <wp:extent cx="4155440" cy="1854835"/>
            <wp:effectExtent l="9525" t="9525" r="10795" b="10160"/>
            <wp:docPr id="4" name="Picture 4" descr="Feature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eature Importance"/>
                    <pic:cNvPicPr>
                      <a:picLocks noChangeAspect="1"/>
                    </pic:cNvPicPr>
                  </pic:nvPicPr>
                  <pic:blipFill>
                    <a:blip r:embed="rId8"/>
                    <a:srcRect t="6403" r="5505" b="6158"/>
                    <a:stretch>
                      <a:fillRect/>
                    </a:stretch>
                  </pic:blipFill>
                  <pic:spPr>
                    <a:xfrm>
                      <a:off x="0" y="0"/>
                      <a:ext cx="4155440" cy="1854835"/>
                    </a:xfrm>
                    <a:prstGeom prst="rect">
                      <a:avLst/>
                    </a:prstGeom>
                    <a:ln>
                      <a:solidFill>
                        <a:schemeClr val="tx1"/>
                      </a:solidFill>
                    </a:ln>
                  </pic:spPr>
                </pic:pic>
              </a:graphicData>
            </a:graphic>
          </wp:inline>
        </w:drawing>
      </w:r>
    </w:p>
    <w:p w14:paraId="6057F740">
      <w:pPr>
        <w:pStyle w:val="4"/>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3.4 Model Training &amp; Evaluation</w:t>
      </w:r>
    </w:p>
    <w:p w14:paraId="31F3BC3E">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 Split: 80% train / 20% test (random_state=42).</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RandomForestRegressor (n_estimators=100, random_state=42).</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Metrics on test set:</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xml:space="preserve">  • R² = 0.178</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xml:space="preserve">  • RMSE = 20.039 MgC/ha</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- 5‑fold CV:</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xml:space="preserve">  • CV R² = –0.145 ± 0.447</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xml:space="preserve">  • CV RMSE = 21.339 ± 3.042 MgC/ha</w:t>
      </w:r>
    </w:p>
    <w:p w14:paraId="3343FA7F">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p>
    <w:p w14:paraId="06BA4386">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lang w:val="en-GB"/>
          <w14:textFill>
            <w14:solidFill>
              <w14:schemeClr w14:val="tx1"/>
            </w14:solidFill>
          </w14:textFill>
        </w:rPr>
      </w:pPr>
      <w:r>
        <w:rPr>
          <w:rFonts w:hint="default" w:ascii="Cambria" w:hAnsi="Cambria" w:cs="Cambria"/>
          <w:color w:val="000000" w:themeColor="text1"/>
          <w:lang w:val="en-GB"/>
          <w14:textFill>
            <w14:solidFill>
              <w14:schemeClr w14:val="tx1"/>
            </w14:solidFill>
          </w14:textFill>
        </w:rPr>
        <w:drawing>
          <wp:inline distT="0" distB="0" distL="114300" distR="114300">
            <wp:extent cx="5984875" cy="2885440"/>
            <wp:effectExtent l="9525" t="9525" r="10160" b="15875"/>
            <wp:docPr id="5" name="Picture 5" descr="Cor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rrelation Matrix"/>
                    <pic:cNvPicPr>
                      <a:picLocks noChangeAspect="1"/>
                    </pic:cNvPicPr>
                  </pic:nvPicPr>
                  <pic:blipFill>
                    <a:blip r:embed="rId9"/>
                    <a:stretch>
                      <a:fillRect/>
                    </a:stretch>
                  </pic:blipFill>
                  <pic:spPr>
                    <a:xfrm>
                      <a:off x="0" y="0"/>
                      <a:ext cx="5984875" cy="2885440"/>
                    </a:xfrm>
                    <a:prstGeom prst="rect">
                      <a:avLst/>
                    </a:prstGeom>
                    <a:ln>
                      <a:solidFill>
                        <a:schemeClr val="tx1"/>
                      </a:solidFill>
                    </a:ln>
                  </pic:spPr>
                </pic:pic>
              </a:graphicData>
            </a:graphic>
          </wp:inline>
        </w:drawing>
      </w:r>
    </w:p>
    <w:p w14:paraId="4B5E412F">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p>
    <w:p w14:paraId="78470339">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p>
    <w:p w14:paraId="65357208">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p>
    <w:p w14:paraId="3D47F72B">
      <w:pPr>
        <w:pStyle w:val="3"/>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4. Results</w:t>
      </w:r>
    </w:p>
    <w:p w14:paraId="797EE418">
      <w:pPr>
        <w:pStyle w:val="4"/>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4.1 Summary Statistics</w:t>
      </w:r>
    </w:p>
    <w:tbl>
      <w:tblPr>
        <w:tblStyle w:val="12"/>
        <w:tblW w:w="0" w:type="auto"/>
        <w:tblInd w:w="0" w:type="dxa"/>
        <w:tblLayout w:type="autofit"/>
        <w:tblCellMar>
          <w:top w:w="0" w:type="dxa"/>
          <w:left w:w="108" w:type="dxa"/>
          <w:bottom w:w="0" w:type="dxa"/>
          <w:right w:w="108" w:type="dxa"/>
        </w:tblCellMar>
      </w:tblPr>
      <w:tblGrid>
        <w:gridCol w:w="1440"/>
        <w:gridCol w:w="1440"/>
        <w:gridCol w:w="1440"/>
        <w:gridCol w:w="1440"/>
        <w:gridCol w:w="1440"/>
        <w:gridCol w:w="1440"/>
      </w:tblGrid>
      <w:tr w14:paraId="415EDE08">
        <w:tblPrEx>
          <w:tblCellMar>
            <w:top w:w="0" w:type="dxa"/>
            <w:left w:w="108" w:type="dxa"/>
            <w:bottom w:w="0" w:type="dxa"/>
            <w:right w:w="108" w:type="dxa"/>
          </w:tblCellMar>
        </w:tblPrEx>
        <w:tc>
          <w:tcPr>
            <w:tcW w:w="1440" w:type="dxa"/>
            <w:tcBorders>
              <w:top w:val="single" w:color="FFFFFF" w:sz="8" w:space="0"/>
              <w:left w:val="single" w:color="FFFFFF" w:sz="8" w:space="0"/>
              <w:bottom w:val="single" w:color="FFFFFF" w:sz="18" w:space="0"/>
              <w:right w:val="single" w:color="FFFFFF" w:sz="8" w:space="0"/>
            </w:tcBorders>
            <w:shd w:val="clear" w:color="auto" w:fill="000000"/>
          </w:tcPr>
          <w:p w14:paraId="13DF4D30">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FFFFFF" w:themeColor="background1"/>
                <w:lang w:val="en-GB"/>
                <w14:textFill>
                  <w14:solidFill>
                    <w14:schemeClr w14:val="bg1"/>
                  </w14:solidFill>
                </w14:textFill>
              </w:rPr>
            </w:pPr>
            <w:r>
              <w:rPr>
                <w:rFonts w:hint="default" w:ascii="Cambria" w:hAnsi="Cambria" w:cs="Cambria"/>
                <w:color w:val="FFFFFF" w:themeColor="background1"/>
                <w:lang w:val="en-GB"/>
                <w14:textFill>
                  <w14:solidFill>
                    <w14:schemeClr w14:val="bg1"/>
                  </w14:solidFill>
                </w14:textFill>
              </w:rPr>
              <w:t>Stats</w:t>
            </w:r>
          </w:p>
        </w:tc>
        <w:tc>
          <w:tcPr>
            <w:tcW w:w="1440" w:type="dxa"/>
            <w:tcBorders>
              <w:top w:val="single" w:color="FFFFFF" w:sz="8" w:space="0"/>
              <w:left w:val="single" w:color="FFFFFF" w:sz="8" w:space="0"/>
              <w:bottom w:val="single" w:color="FFFFFF" w:sz="18" w:space="0"/>
              <w:right w:val="single" w:color="FFFFFF" w:sz="8" w:space="0"/>
            </w:tcBorders>
            <w:shd w:val="clear" w:color="auto" w:fill="000000"/>
          </w:tcPr>
          <w:p w14:paraId="47A68C07">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FFFFFF" w:themeColor="background1"/>
                <w14:textFill>
                  <w14:solidFill>
                    <w14:schemeClr w14:val="bg1"/>
                  </w14:solidFill>
                </w14:textFill>
              </w:rPr>
            </w:pPr>
            <w:r>
              <w:rPr>
                <w:rFonts w:hint="default" w:ascii="Cambria" w:hAnsi="Cambria" w:cs="Cambria"/>
                <w:color w:val="FFFFFF" w:themeColor="background1"/>
                <w14:textFill>
                  <w14:solidFill>
                    <w14:schemeClr w14:val="bg1"/>
                  </w14:solidFill>
                </w14:textFill>
              </w:rPr>
              <w:t>elevation</w:t>
            </w:r>
          </w:p>
        </w:tc>
        <w:tc>
          <w:tcPr>
            <w:tcW w:w="1440" w:type="dxa"/>
            <w:tcBorders>
              <w:top w:val="single" w:color="FFFFFF" w:sz="8" w:space="0"/>
              <w:left w:val="single" w:color="FFFFFF" w:sz="8" w:space="0"/>
              <w:bottom w:val="single" w:color="FFFFFF" w:sz="18" w:space="0"/>
              <w:right w:val="single" w:color="FFFFFF" w:sz="8" w:space="0"/>
            </w:tcBorders>
            <w:shd w:val="clear" w:color="auto" w:fill="000000"/>
          </w:tcPr>
          <w:p w14:paraId="1452D9A3">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FFFFFF" w:themeColor="background1"/>
                <w14:textFill>
                  <w14:solidFill>
                    <w14:schemeClr w14:val="bg1"/>
                  </w14:solidFill>
                </w14:textFill>
              </w:rPr>
            </w:pPr>
            <w:r>
              <w:rPr>
                <w:rFonts w:hint="default" w:ascii="Cambria" w:hAnsi="Cambria" w:cs="Cambria"/>
                <w:color w:val="FFFFFF" w:themeColor="background1"/>
                <w14:textFill>
                  <w14:solidFill>
                    <w14:schemeClr w14:val="bg1"/>
                  </w14:solidFill>
                </w14:textFill>
              </w:rPr>
              <w:t>precip</w:t>
            </w:r>
          </w:p>
        </w:tc>
        <w:tc>
          <w:tcPr>
            <w:tcW w:w="1440" w:type="dxa"/>
            <w:tcBorders>
              <w:top w:val="single" w:color="FFFFFF" w:sz="8" w:space="0"/>
              <w:left w:val="single" w:color="FFFFFF" w:sz="8" w:space="0"/>
              <w:bottom w:val="single" w:color="FFFFFF" w:sz="18" w:space="0"/>
              <w:right w:val="single" w:color="FFFFFF" w:sz="8" w:space="0"/>
            </w:tcBorders>
            <w:shd w:val="clear" w:color="auto" w:fill="000000"/>
          </w:tcPr>
          <w:p w14:paraId="38615BAC">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FFFFFF" w:themeColor="background1"/>
                <w14:textFill>
                  <w14:solidFill>
                    <w14:schemeClr w14:val="bg1"/>
                  </w14:solidFill>
                </w14:textFill>
              </w:rPr>
            </w:pPr>
            <w:r>
              <w:rPr>
                <w:rFonts w:hint="default" w:ascii="Cambria" w:hAnsi="Cambria" w:cs="Cambria"/>
                <w:color w:val="FFFFFF" w:themeColor="background1"/>
                <w14:textFill>
                  <w14:solidFill>
                    <w14:schemeClr w14:val="bg1"/>
                  </w14:solidFill>
                </w14:textFill>
              </w:rPr>
              <w:t>ndvi</w:t>
            </w:r>
          </w:p>
        </w:tc>
        <w:tc>
          <w:tcPr>
            <w:tcW w:w="1440" w:type="dxa"/>
            <w:tcBorders>
              <w:top w:val="single" w:color="FFFFFF" w:sz="8" w:space="0"/>
              <w:left w:val="single" w:color="FFFFFF" w:sz="8" w:space="0"/>
              <w:bottom w:val="single" w:color="FFFFFF" w:sz="18" w:space="0"/>
              <w:right w:val="single" w:color="FFFFFF" w:sz="8" w:space="0"/>
            </w:tcBorders>
            <w:shd w:val="clear" w:color="auto" w:fill="000000"/>
          </w:tcPr>
          <w:p w14:paraId="3FE4C6D8">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FFFFFF" w:themeColor="background1"/>
                <w14:textFill>
                  <w14:solidFill>
                    <w14:schemeClr w14:val="bg1"/>
                  </w14:solidFill>
                </w14:textFill>
              </w:rPr>
            </w:pPr>
            <w:r>
              <w:rPr>
                <w:rFonts w:hint="default" w:ascii="Cambria" w:hAnsi="Cambria" w:cs="Cambria"/>
                <w:color w:val="FFFFFF" w:themeColor="background1"/>
                <w14:textFill>
                  <w14:solidFill>
                    <w14:schemeClr w14:val="bg1"/>
                  </w14:solidFill>
                </w14:textFill>
              </w:rPr>
              <w:t>landcover</w:t>
            </w:r>
          </w:p>
        </w:tc>
        <w:tc>
          <w:tcPr>
            <w:tcW w:w="1440" w:type="dxa"/>
            <w:tcBorders>
              <w:top w:val="single" w:color="FFFFFF" w:sz="8" w:space="0"/>
              <w:left w:val="single" w:color="FFFFFF" w:sz="8" w:space="0"/>
              <w:bottom w:val="single" w:color="FFFFFF" w:sz="18" w:space="0"/>
              <w:right w:val="single" w:color="FFFFFF" w:sz="8" w:space="0"/>
            </w:tcBorders>
            <w:shd w:val="clear" w:color="auto" w:fill="000000"/>
          </w:tcPr>
          <w:p w14:paraId="2836BE20">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FFFFFF" w:themeColor="background1"/>
                <w14:textFill>
                  <w14:solidFill>
                    <w14:schemeClr w14:val="bg1"/>
                  </w14:solidFill>
                </w14:textFill>
              </w:rPr>
            </w:pPr>
            <w:r>
              <w:rPr>
                <w:rFonts w:hint="default" w:ascii="Cambria" w:hAnsi="Cambria" w:cs="Cambria"/>
                <w:color w:val="FFFFFF" w:themeColor="background1"/>
                <w14:textFill>
                  <w14:solidFill>
                    <w14:schemeClr w14:val="bg1"/>
                  </w14:solidFill>
                </w14:textFill>
              </w:rPr>
              <w:t>MgC_per_ha</w:t>
            </w:r>
          </w:p>
        </w:tc>
      </w:tr>
      <w:tr w14:paraId="3F4FC171">
        <w:tblPrEx>
          <w:tblCellMar>
            <w:top w:w="0" w:type="dxa"/>
            <w:left w:w="108" w:type="dxa"/>
            <w:bottom w:w="0" w:type="dxa"/>
            <w:right w:w="108" w:type="dxa"/>
          </w:tblCellMar>
        </w:tblPrEx>
        <w:tc>
          <w:tcPr>
            <w:tcW w:w="1440" w:type="dxa"/>
            <w:tcBorders>
              <w:top w:val="single" w:color="FFFFFF" w:sz="18" w:space="0"/>
              <w:left w:val="single" w:color="FFFFFF" w:sz="8" w:space="0"/>
              <w:bottom w:val="single" w:color="FFFFFF" w:sz="8" w:space="0"/>
              <w:right w:val="single" w:color="FFFFFF" w:sz="8" w:space="0"/>
            </w:tcBorders>
            <w:shd w:val="clear" w:color="auto" w:fill="CBCBCB"/>
          </w:tcPr>
          <w:p w14:paraId="16700663">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count</w:t>
            </w:r>
          </w:p>
        </w:tc>
        <w:tc>
          <w:tcPr>
            <w:tcW w:w="1440" w:type="dxa"/>
            <w:tcBorders>
              <w:top w:val="single" w:color="FFFFFF" w:sz="18" w:space="0"/>
              <w:left w:val="single" w:color="FFFFFF" w:sz="8" w:space="0"/>
              <w:bottom w:val="single" w:color="FFFFFF" w:sz="8" w:space="0"/>
              <w:right w:val="single" w:color="FFFFFF" w:sz="8" w:space="0"/>
            </w:tcBorders>
            <w:shd w:val="clear" w:color="auto" w:fill="CBCBCB"/>
          </w:tcPr>
          <w:p w14:paraId="751033F7">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80.00000</w:t>
            </w:r>
          </w:p>
        </w:tc>
        <w:tc>
          <w:tcPr>
            <w:tcW w:w="1440" w:type="dxa"/>
            <w:tcBorders>
              <w:top w:val="single" w:color="FFFFFF" w:sz="18" w:space="0"/>
              <w:left w:val="single" w:color="FFFFFF" w:sz="8" w:space="0"/>
              <w:bottom w:val="single" w:color="FFFFFF" w:sz="8" w:space="0"/>
              <w:right w:val="single" w:color="FFFFFF" w:sz="8" w:space="0"/>
            </w:tcBorders>
            <w:shd w:val="clear" w:color="auto" w:fill="CBCBCB"/>
          </w:tcPr>
          <w:p w14:paraId="13F61A92">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80.000000</w:t>
            </w:r>
          </w:p>
        </w:tc>
        <w:tc>
          <w:tcPr>
            <w:tcW w:w="1440" w:type="dxa"/>
            <w:tcBorders>
              <w:top w:val="single" w:color="FFFFFF" w:sz="18" w:space="0"/>
              <w:left w:val="single" w:color="FFFFFF" w:sz="8" w:space="0"/>
              <w:bottom w:val="single" w:color="FFFFFF" w:sz="8" w:space="0"/>
              <w:right w:val="single" w:color="FFFFFF" w:sz="8" w:space="0"/>
            </w:tcBorders>
            <w:shd w:val="clear" w:color="auto" w:fill="CBCBCB"/>
          </w:tcPr>
          <w:p w14:paraId="7EAD486F">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80.000000</w:t>
            </w:r>
          </w:p>
        </w:tc>
        <w:tc>
          <w:tcPr>
            <w:tcW w:w="1440" w:type="dxa"/>
            <w:tcBorders>
              <w:top w:val="single" w:color="FFFFFF" w:sz="18" w:space="0"/>
              <w:left w:val="single" w:color="FFFFFF" w:sz="8" w:space="0"/>
              <w:bottom w:val="single" w:color="FFFFFF" w:sz="8" w:space="0"/>
              <w:right w:val="single" w:color="FFFFFF" w:sz="8" w:space="0"/>
            </w:tcBorders>
            <w:shd w:val="clear" w:color="auto" w:fill="CBCBCB"/>
          </w:tcPr>
          <w:p w14:paraId="3C42D804">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80.000000</w:t>
            </w:r>
          </w:p>
        </w:tc>
        <w:tc>
          <w:tcPr>
            <w:tcW w:w="1440" w:type="dxa"/>
            <w:tcBorders>
              <w:top w:val="single" w:color="FFFFFF" w:sz="18" w:space="0"/>
              <w:left w:val="single" w:color="FFFFFF" w:sz="8" w:space="0"/>
              <w:bottom w:val="single" w:color="FFFFFF" w:sz="8" w:space="0"/>
              <w:right w:val="single" w:color="FFFFFF" w:sz="8" w:space="0"/>
            </w:tcBorders>
            <w:shd w:val="clear" w:color="auto" w:fill="CBCBCB"/>
          </w:tcPr>
          <w:p w14:paraId="268EEC6E">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80</w:t>
            </w:r>
          </w:p>
        </w:tc>
      </w:tr>
      <w:tr w14:paraId="73BF7942">
        <w:tblPrEx>
          <w:tblCellMar>
            <w:top w:w="0" w:type="dxa"/>
            <w:left w:w="108" w:type="dxa"/>
            <w:bottom w:w="0" w:type="dxa"/>
            <w:right w:w="108" w:type="dxa"/>
          </w:tblCellMar>
        </w:tblPrEx>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2461809D">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mean</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4176CD94">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1797.20000</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2A274179">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64.975000</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57C5455C">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0.311234</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6CEBDA4B">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28.875000</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7DEAB523">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0.000000</w:t>
            </w:r>
          </w:p>
        </w:tc>
      </w:tr>
      <w:tr w14:paraId="7F98CD78">
        <w:tblPrEx>
          <w:tblCellMar>
            <w:top w:w="0" w:type="dxa"/>
            <w:left w:w="108" w:type="dxa"/>
            <w:bottom w:w="0" w:type="dxa"/>
            <w:right w:w="108" w:type="dxa"/>
          </w:tblCellMar>
        </w:tblPrEx>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30A972D3">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std</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690F2ECF">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122.87396</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115FDFF0">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14.633533</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10720CE7">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0.084469</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538618F2">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3.555616</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0523F32F">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22.685540</w:t>
            </w:r>
          </w:p>
        </w:tc>
      </w:tr>
      <w:tr w14:paraId="7D905F64">
        <w:tblPrEx>
          <w:tblCellMar>
            <w:top w:w="0" w:type="dxa"/>
            <w:left w:w="108" w:type="dxa"/>
            <w:bottom w:w="0" w:type="dxa"/>
            <w:right w:w="108" w:type="dxa"/>
          </w:tblCellMar>
        </w:tblPrEx>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5BE6CD87">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min</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6D272EC6">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1548.00000</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34D789AB">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43.638889</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527D57B6">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0.154145</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152C6B44">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10.000000</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122200B2">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-48.847000</w:t>
            </w:r>
          </w:p>
        </w:tc>
      </w:tr>
      <w:tr w14:paraId="2504A3C4">
        <w:tblPrEx>
          <w:tblCellMar>
            <w:top w:w="0" w:type="dxa"/>
            <w:left w:w="108" w:type="dxa"/>
            <w:bottom w:w="0" w:type="dxa"/>
            <w:right w:w="108" w:type="dxa"/>
          </w:tblCellMar>
        </w:tblPrEx>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6E43AC75">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25%</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5536A78B">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1704.75000</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4614159B">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51.048611</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005FB76F">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0.254535</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4436FACC">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30.000000</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35F8C1C6">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-11.078490</w:t>
            </w:r>
          </w:p>
        </w:tc>
      </w:tr>
      <w:tr w14:paraId="30A0B5A1">
        <w:tblPrEx>
          <w:tblCellMar>
            <w:top w:w="0" w:type="dxa"/>
            <w:left w:w="108" w:type="dxa"/>
            <w:bottom w:w="0" w:type="dxa"/>
            <w:right w:w="108" w:type="dxa"/>
          </w:tblCellMar>
        </w:tblPrEx>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5DAC768B">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50%</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36BB6C11">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1776.00000</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266AAAA9">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65.111111</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6301670F">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0.290355</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0DBED607">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30.000000</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2E8F5869">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0.343921</w:t>
            </w:r>
          </w:p>
        </w:tc>
      </w:tr>
      <w:tr w14:paraId="783A212E">
        <w:tblPrEx>
          <w:tblCellMar>
            <w:top w:w="0" w:type="dxa"/>
            <w:left w:w="108" w:type="dxa"/>
            <w:bottom w:w="0" w:type="dxa"/>
            <w:right w:w="108" w:type="dxa"/>
          </w:tblCellMar>
        </w:tblPrEx>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774BB805">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75%</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18B4B5F2">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1903.50000</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6961BDF9">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77.701389</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7B2DE267">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0.343279</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5A931F60">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30.000000</w:t>
            </w:r>
          </w:p>
        </w:tc>
        <w:tc>
          <w:tcPr>
            <w:tcW w:w="1440" w:type="dxa"/>
            <w:tcBorders>
              <w:top w:val="single" w:color="FFFFFF" w:sz="8" w:space="0"/>
              <w:left w:val="single" w:color="FFFFFF" w:sz="8" w:space="0"/>
              <w:bottom w:val="single" w:color="FFFFFF" w:sz="8" w:space="0"/>
              <w:right w:val="single" w:color="FFFFFF" w:sz="8" w:space="0"/>
            </w:tcBorders>
            <w:shd w:val="clear" w:color="auto" w:fill="CBCBCB"/>
          </w:tcPr>
          <w:p w14:paraId="33B11AF3">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8.627321</w:t>
            </w:r>
          </w:p>
        </w:tc>
      </w:tr>
      <w:tr w14:paraId="3B433FFA">
        <w:tblPrEx>
          <w:tblCellMar>
            <w:top w:w="0" w:type="dxa"/>
            <w:left w:w="108" w:type="dxa"/>
            <w:bottom w:w="0" w:type="dxa"/>
            <w:right w:w="108" w:type="dxa"/>
          </w:tblCellMar>
        </w:tblPrEx>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270DB4A1">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max</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26E964B5">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2094.00000</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1C220BAB">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89.250000</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34EEE9C4">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0.592052</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5FF00938">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30.000000</w:t>
            </w:r>
          </w:p>
        </w:tc>
        <w:tc>
          <w:tcPr>
            <w:tcW w:w="1440" w:type="dxa"/>
            <w:tcBorders>
              <w:top w:val="single" w:color="FFFFFF" w:sz="8" w:space="0"/>
              <w:left w:val="single" w:color="FFFFFF" w:sz="8" w:space="0"/>
              <w:bottom w:val="single" w:color="FFFFFF" w:sz="8" w:space="0"/>
              <w:right w:val="single" w:color="FFFFFF" w:sz="8" w:space="0"/>
            </w:tcBorders>
            <w:shd w:val="clear" w:color="auto" w:fill="E7E7E7"/>
          </w:tcPr>
          <w:p w14:paraId="295B63B8">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67.708190</w:t>
            </w:r>
          </w:p>
        </w:tc>
      </w:tr>
    </w:tbl>
    <w:p w14:paraId="47B5F736">
      <w:pPr>
        <w:pStyle w:val="4"/>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p>
    <w:p w14:paraId="2F5D41C7">
      <w:pPr>
        <w:rPr>
          <w:rFonts w:hint="default"/>
        </w:rPr>
      </w:pPr>
    </w:p>
    <w:p w14:paraId="6FCBB5CB">
      <w:pPr>
        <w:pStyle w:val="4"/>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4.2 Model Performance</w:t>
      </w:r>
    </w:p>
    <w:tbl>
      <w:tblPr>
        <w:tblStyle w:val="12"/>
        <w:tblW w:w="0" w:type="auto"/>
        <w:tblInd w:w="0" w:type="dxa"/>
        <w:tblLayout w:type="autofit"/>
        <w:tblCellMar>
          <w:top w:w="0" w:type="dxa"/>
          <w:left w:w="108" w:type="dxa"/>
          <w:bottom w:w="0" w:type="dxa"/>
          <w:right w:w="108" w:type="dxa"/>
        </w:tblCellMar>
      </w:tblPr>
      <w:tblGrid>
        <w:gridCol w:w="2880"/>
        <w:gridCol w:w="2880"/>
        <w:gridCol w:w="2880"/>
      </w:tblGrid>
      <w:tr w14:paraId="51E16CCE">
        <w:tblPrEx>
          <w:tblCellMar>
            <w:top w:w="0" w:type="dxa"/>
            <w:left w:w="108" w:type="dxa"/>
            <w:bottom w:w="0" w:type="dxa"/>
            <w:right w:w="108" w:type="dxa"/>
          </w:tblCellMar>
        </w:tblPrEx>
        <w:tc>
          <w:tcPr>
            <w:tcW w:w="2880" w:type="dxa"/>
            <w:tcBorders>
              <w:top w:val="single" w:color="FFFFFF" w:sz="8" w:space="0"/>
              <w:left w:val="single" w:color="FFFFFF" w:sz="8" w:space="0"/>
              <w:bottom w:val="single" w:color="FFFFFF" w:sz="18" w:space="0"/>
              <w:right w:val="single" w:color="FFFFFF" w:sz="8" w:space="0"/>
            </w:tcBorders>
            <w:shd w:val="clear" w:color="auto" w:fill="000000"/>
          </w:tcPr>
          <w:p w14:paraId="5E1E499A">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FFFFFF"/>
              </w:rPr>
            </w:pPr>
            <w:r>
              <w:rPr>
                <w:rFonts w:hint="default" w:ascii="Cambria" w:hAnsi="Cambria" w:cs="Cambria"/>
                <w:color w:val="FFFFFF"/>
              </w:rPr>
              <w:t>Metric</w:t>
            </w:r>
          </w:p>
        </w:tc>
        <w:tc>
          <w:tcPr>
            <w:tcW w:w="2880" w:type="dxa"/>
            <w:tcBorders>
              <w:top w:val="single" w:color="FFFFFF" w:sz="8" w:space="0"/>
              <w:left w:val="single" w:color="FFFFFF" w:sz="8" w:space="0"/>
              <w:bottom w:val="single" w:color="FFFFFF" w:sz="18" w:space="0"/>
              <w:right w:val="single" w:color="FFFFFF" w:sz="8" w:space="0"/>
            </w:tcBorders>
            <w:shd w:val="clear" w:color="auto" w:fill="000000"/>
          </w:tcPr>
          <w:p w14:paraId="3AC5F8F6">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FFFFFF"/>
              </w:rPr>
            </w:pPr>
            <w:r>
              <w:rPr>
                <w:rFonts w:hint="default" w:ascii="Cambria" w:hAnsi="Cambria" w:cs="Cambria"/>
                <w:color w:val="FFFFFF"/>
              </w:rPr>
              <w:t>Test Set</w:t>
            </w:r>
          </w:p>
        </w:tc>
        <w:tc>
          <w:tcPr>
            <w:tcW w:w="2880" w:type="dxa"/>
            <w:tcBorders>
              <w:top w:val="single" w:color="FFFFFF" w:sz="8" w:space="0"/>
              <w:left w:val="single" w:color="FFFFFF" w:sz="8" w:space="0"/>
              <w:bottom w:val="single" w:color="FFFFFF" w:sz="18" w:space="0"/>
              <w:right w:val="single" w:color="FFFFFF" w:sz="8" w:space="0"/>
            </w:tcBorders>
            <w:shd w:val="clear" w:color="auto" w:fill="000000"/>
          </w:tcPr>
          <w:p w14:paraId="7C7F8550">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FFFFFF"/>
              </w:rPr>
            </w:pPr>
            <w:r>
              <w:rPr>
                <w:rFonts w:hint="default" w:ascii="Cambria" w:hAnsi="Cambria" w:cs="Cambria"/>
                <w:color w:val="FFFFFF"/>
              </w:rPr>
              <w:t>5-Fold CV (mean ± SD)</w:t>
            </w:r>
          </w:p>
        </w:tc>
      </w:tr>
      <w:tr w14:paraId="2555FB81">
        <w:tblPrEx>
          <w:tblCellMar>
            <w:top w:w="0" w:type="dxa"/>
            <w:left w:w="108" w:type="dxa"/>
            <w:bottom w:w="0" w:type="dxa"/>
            <w:right w:w="108" w:type="dxa"/>
          </w:tblCellMar>
        </w:tblPrEx>
        <w:tc>
          <w:tcPr>
            <w:tcW w:w="2880" w:type="dxa"/>
            <w:tcBorders>
              <w:top w:val="single" w:color="FFFFFF" w:sz="18" w:space="0"/>
              <w:left w:val="single" w:color="FFFFFF" w:sz="8" w:space="0"/>
              <w:bottom w:val="single" w:color="FFFFFF" w:sz="8" w:space="0"/>
              <w:right w:val="single" w:color="FFFFFF" w:sz="8" w:space="0"/>
            </w:tcBorders>
            <w:shd w:val="clear" w:color="auto" w:fill="CBCBCB"/>
          </w:tcPr>
          <w:p w14:paraId="5633BC8F">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R²</w:t>
            </w:r>
          </w:p>
        </w:tc>
        <w:tc>
          <w:tcPr>
            <w:tcW w:w="2880" w:type="dxa"/>
            <w:tcBorders>
              <w:top w:val="single" w:color="FFFFFF" w:sz="18" w:space="0"/>
              <w:left w:val="single" w:color="FFFFFF" w:sz="8" w:space="0"/>
              <w:bottom w:val="single" w:color="FFFFFF" w:sz="8" w:space="0"/>
              <w:right w:val="single" w:color="FFFFFF" w:sz="8" w:space="0"/>
            </w:tcBorders>
            <w:shd w:val="clear" w:color="auto" w:fill="CBCBCB"/>
          </w:tcPr>
          <w:p w14:paraId="7237CA79">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0.178</w:t>
            </w:r>
          </w:p>
        </w:tc>
        <w:tc>
          <w:tcPr>
            <w:tcW w:w="2880" w:type="dxa"/>
            <w:tcBorders>
              <w:top w:val="single" w:color="FFFFFF" w:sz="18" w:space="0"/>
              <w:left w:val="single" w:color="FFFFFF" w:sz="8" w:space="0"/>
              <w:bottom w:val="single" w:color="FFFFFF" w:sz="8" w:space="0"/>
              <w:right w:val="single" w:color="FFFFFF" w:sz="8" w:space="0"/>
            </w:tcBorders>
            <w:shd w:val="clear" w:color="auto" w:fill="CBCBCB"/>
          </w:tcPr>
          <w:p w14:paraId="581432D7">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–0.145 ± 0.447</w:t>
            </w:r>
          </w:p>
        </w:tc>
      </w:tr>
      <w:tr w14:paraId="66CA7FDA">
        <w:tblPrEx>
          <w:tblCellMar>
            <w:top w:w="0" w:type="dxa"/>
            <w:left w:w="108" w:type="dxa"/>
            <w:bottom w:w="0" w:type="dxa"/>
            <w:right w:w="108" w:type="dxa"/>
          </w:tblCellMar>
        </w:tblPrEx>
        <w:tc>
          <w:tcPr>
            <w:tcW w:w="2880" w:type="dxa"/>
            <w:tcBorders>
              <w:top w:val="single" w:color="FFFFFF" w:sz="8" w:space="0"/>
              <w:left w:val="single" w:color="FFFFFF" w:sz="8" w:space="0"/>
              <w:bottom w:val="single" w:color="FFFFFF" w:sz="8" w:space="0"/>
              <w:right w:val="single" w:color="FFFFFF" w:sz="8" w:space="0"/>
            </w:tcBorders>
            <w:shd w:val="clear" w:color="auto" w:fill="E7E7E7"/>
          </w:tcPr>
          <w:p w14:paraId="74F1EFAF">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RMSE (MgC/ha)</w:t>
            </w:r>
          </w:p>
        </w:tc>
        <w:tc>
          <w:tcPr>
            <w:tcW w:w="2880" w:type="dxa"/>
            <w:tcBorders>
              <w:top w:val="single" w:color="FFFFFF" w:sz="8" w:space="0"/>
              <w:left w:val="single" w:color="FFFFFF" w:sz="8" w:space="0"/>
              <w:bottom w:val="single" w:color="FFFFFF" w:sz="8" w:space="0"/>
              <w:right w:val="single" w:color="FFFFFF" w:sz="8" w:space="0"/>
            </w:tcBorders>
            <w:shd w:val="clear" w:color="auto" w:fill="E7E7E7"/>
          </w:tcPr>
          <w:p w14:paraId="1FA1F867">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20.039</w:t>
            </w:r>
          </w:p>
        </w:tc>
        <w:tc>
          <w:tcPr>
            <w:tcW w:w="2880" w:type="dxa"/>
            <w:tcBorders>
              <w:top w:val="single" w:color="FFFFFF" w:sz="8" w:space="0"/>
              <w:left w:val="single" w:color="FFFFFF" w:sz="8" w:space="0"/>
              <w:bottom w:val="single" w:color="FFFFFF" w:sz="8" w:space="0"/>
              <w:right w:val="single" w:color="FFFFFF" w:sz="8" w:space="0"/>
            </w:tcBorders>
            <w:shd w:val="clear" w:color="auto" w:fill="E7E7E7"/>
          </w:tcPr>
          <w:p w14:paraId="41FBB73C">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21.339 ± 3.042</w:t>
            </w:r>
          </w:p>
        </w:tc>
      </w:tr>
    </w:tbl>
    <w:p w14:paraId="28FF7DEA">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p>
    <w:p w14:paraId="12C8C0D7">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The model explains 17.8% of the variance in SOC stocks, with an average prediction error of 20.039 MgC/ha.</w:t>
      </w:r>
    </w:p>
    <w:p w14:paraId="6D177A64">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p>
    <w:p w14:paraId="01FDB373">
      <w:pPr>
        <w:pStyle w:val="4"/>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p>
    <w:p w14:paraId="30CBD135">
      <w:pPr>
        <w:pStyle w:val="4"/>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p>
    <w:p w14:paraId="0CEB8DA2">
      <w:pPr>
        <w:rPr>
          <w:rFonts w:hint="default"/>
        </w:rPr>
      </w:pPr>
    </w:p>
    <w:p w14:paraId="15EE48D4">
      <w:pPr>
        <w:pStyle w:val="4"/>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4.</w:t>
      </w:r>
      <w:r>
        <w:rPr>
          <w:rFonts w:hint="default" w:ascii="Cambria" w:hAnsi="Cambria" w:cs="Cambria"/>
          <w:color w:val="000000" w:themeColor="text1"/>
          <w:lang w:val="en-GB"/>
          <w14:textFill>
            <w14:solidFill>
              <w14:schemeClr w14:val="tx1"/>
            </w14:solidFill>
          </w14:textFill>
        </w:rPr>
        <w:t>3</w:t>
      </w:r>
      <w:bookmarkStart w:id="0" w:name="_GoBack"/>
      <w:bookmarkEnd w:id="0"/>
      <w:r>
        <w:rPr>
          <w:rFonts w:hint="default" w:ascii="Cambria" w:hAnsi="Cambria" w:cs="Cambria"/>
          <w:color w:val="000000" w:themeColor="text1"/>
          <w14:textFill>
            <w14:solidFill>
              <w14:schemeClr w14:val="tx1"/>
            </w14:solidFill>
          </w14:textFill>
        </w:rPr>
        <w:t xml:space="preserve"> Spatial Prediction</w:t>
      </w:r>
    </w:p>
    <w:p w14:paraId="232900C5">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Figure 1. Predicted SOC stocks (MgC/ha) across the modeling domain, rendered at 100 m resolution.</w:t>
      </w:r>
    </w:p>
    <w:p w14:paraId="42F0A2F3">
      <w:pPr>
        <w:pStyle w:val="3"/>
        <w:pageBreakBefore w:val="0"/>
        <w:widowControl/>
        <w:kinsoku/>
        <w:wordWrap/>
        <w:overflowPunct/>
        <w:topLinePunct w:val="0"/>
        <w:autoSpaceDE/>
        <w:autoSpaceDN/>
        <w:bidi w:val="0"/>
        <w:adjustRightInd/>
        <w:snapToGrid/>
        <w:spacing w:before="0" w:after="0" w:line="480" w:lineRule="auto"/>
        <w:jc w:val="center"/>
        <w:textAlignment w:val="auto"/>
        <w:rPr>
          <w:rFonts w:hint="default" w:ascii="Cambria" w:hAnsi="Cambria" w:cs="Cambria"/>
          <w:color w:val="000000" w:themeColor="text1"/>
          <w:lang w:val="en-GB"/>
          <w14:textFill>
            <w14:solidFill>
              <w14:schemeClr w14:val="tx1"/>
            </w14:solidFill>
          </w14:textFill>
        </w:rPr>
      </w:pPr>
      <w:r>
        <w:rPr>
          <w:rFonts w:hint="default" w:ascii="Cambria" w:hAnsi="Cambria" w:cs="Cambria"/>
          <w:color w:val="000000" w:themeColor="text1"/>
          <w:lang w:val="en-GB"/>
          <w14:textFill>
            <w14:solidFill>
              <w14:schemeClr w14:val="tx1"/>
            </w14:solidFill>
          </w14:textFill>
        </w:rPr>
        <w:drawing>
          <wp:inline distT="0" distB="0" distL="114300" distR="114300">
            <wp:extent cx="4714240" cy="2849880"/>
            <wp:effectExtent l="9525" t="9525" r="15875" b="13335"/>
            <wp:docPr id="2" name="Picture 2" descr="Predicted 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edicted SOC"/>
                    <pic:cNvPicPr>
                      <a:picLocks noChangeAspect="1"/>
                    </pic:cNvPicPr>
                  </pic:nvPicPr>
                  <pic:blipFill>
                    <a:blip r:embed="rId10"/>
                    <a:stretch>
                      <a:fillRect/>
                    </a:stretch>
                  </pic:blipFill>
                  <pic:spPr>
                    <a:xfrm>
                      <a:off x="0" y="0"/>
                      <a:ext cx="4714240" cy="2849880"/>
                    </a:xfrm>
                    <a:prstGeom prst="rect">
                      <a:avLst/>
                    </a:prstGeom>
                    <a:ln>
                      <a:solidFill>
                        <a:schemeClr val="tx1"/>
                      </a:solidFill>
                    </a:ln>
                  </pic:spPr>
                </pic:pic>
              </a:graphicData>
            </a:graphic>
          </wp:inline>
        </w:drawing>
      </w:r>
    </w:p>
    <w:p w14:paraId="11A2D3C9">
      <w:pPr>
        <w:pStyle w:val="3"/>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5. Discussion</w:t>
      </w:r>
    </w:p>
    <w:p w14:paraId="0A34137D">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Random Forest was chosen for robustness to overfitting, ability to model non-linear effects, and interpretability. Buffer-based bounding box limits predictions within sampled conditions, reducing extrapolation risk. Limitations include small sample size (n=80) and only four predictors; SOC variability is also driven by soil texture, management, and microclimate not captured here. Future improvements: additional covariates (e.g., soil texture, moisture) and expanded sampling.</w:t>
      </w:r>
    </w:p>
    <w:p w14:paraId="1869F292">
      <w:pPr>
        <w:pStyle w:val="4"/>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Applicability for Carbon Credit Monitoring</w:t>
      </w:r>
    </w:p>
    <w:p w14:paraId="5DF852C9">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This model demonstrates feasibility for broad-scale SOC baseline mapping (R² = 0.178) but lacks the accuracy for fine-scale monitoring needed in carbon credit schemes. Enhancements with proximal soil data, management history, and high-resolution remote sensing could improve sensitivity to detect small SOC changes.</w:t>
      </w:r>
    </w:p>
    <w:p w14:paraId="08E22663">
      <w:pPr>
        <w:pStyle w:val="3"/>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6. Conclusions</w:t>
      </w:r>
    </w:p>
    <w:p w14:paraId="7EEDEFFD">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The workflow from data ingestion to spatial deployment offers a foundation for SOC estimation. While current results highlight both strengths and limitations, they inform iterative refinement and data acquisition for robust SOC monitoring.</w:t>
      </w:r>
    </w:p>
    <w:p w14:paraId="6EFC9282">
      <w:pPr>
        <w:pStyle w:val="3"/>
        <w:pageBreakBefore w:val="0"/>
        <w:widowControl/>
        <w:kinsoku/>
        <w:wordWrap/>
        <w:overflowPunct/>
        <w:topLinePunct w:val="0"/>
        <w:autoSpaceDE/>
        <w:autoSpaceDN/>
        <w:bidi w:val="0"/>
        <w:adjustRightInd/>
        <w:snapToGrid/>
        <w:spacing w:before="0"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7. Code &amp; Data Availability</w:t>
      </w:r>
    </w:p>
    <w:p w14:paraId="39D37B04">
      <w:pPr>
        <w:pageBreakBefore w:val="0"/>
        <w:widowControl/>
        <w:kinsoku/>
        <w:wordWrap/>
        <w:overflowPunct/>
        <w:topLinePunct w:val="0"/>
        <w:autoSpaceDE/>
        <w:autoSpaceDN/>
        <w:bidi w:val="0"/>
        <w:adjustRightInd/>
        <w:snapToGrid/>
        <w:spacing w:after="0" w:line="480" w:lineRule="auto"/>
        <w:textAlignment w:val="auto"/>
        <w:rPr>
          <w:rFonts w:hint="default" w:ascii="Cambria" w:hAnsi="Cambria" w:cs="Cambria"/>
          <w:color w:val="000000" w:themeColor="text1"/>
          <w14:textFill>
            <w14:solidFill>
              <w14:schemeClr w14:val="tx1"/>
            </w14:solidFill>
          </w14:textFill>
        </w:rPr>
      </w:pPr>
      <w:r>
        <w:rPr>
          <w:rFonts w:hint="default" w:ascii="Cambria" w:hAnsi="Cambria" w:cs="Cambria"/>
          <w:color w:val="000000" w:themeColor="text1"/>
          <w14:textFill>
            <w14:solidFill>
              <w14:schemeClr w14:val="tx1"/>
            </w14:solidFill>
          </w14:textFill>
        </w:rPr>
        <w:t>- Notebook: SOC.ipynb</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Training data: soc/data/soc_training_data.csv</w:t>
      </w:r>
      <w:r>
        <w:rPr>
          <w:rFonts w:hint="default" w:ascii="Cambria" w:hAnsi="Cambria" w:cs="Cambria"/>
          <w:color w:val="000000" w:themeColor="text1"/>
          <w14:textFill>
            <w14:solidFill>
              <w14:schemeClr w14:val="tx1"/>
            </w14:solidFill>
          </w14:textFill>
        </w:rPr>
        <w:br w:type="textWrapping"/>
      </w:r>
      <w:r>
        <w:rPr>
          <w:rFonts w:hint="default" w:ascii="Cambria" w:hAnsi="Cambria" w:cs="Cambria"/>
          <w:color w:val="000000" w:themeColor="text1"/>
          <w14:textFill>
            <w14:solidFill>
              <w14:schemeClr w14:val="tx1"/>
            </w14:solidFill>
          </w14:textFill>
        </w:rPr>
        <w:t>- Predicted raster: soc/data/SOC_predicted.tif</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rial Unicode MS">
    <w:panose1 w:val="020B0604020202020204"/>
    <w:charset w:val="86"/>
    <w:family w:val="auto"/>
    <w:pitch w:val="default"/>
    <w:sig w:usb0="F7FFAEFF" w:usb1="F9DFFFFF" w:usb2="0000007F" w:usb3="00000000" w:csb0="203F01FF" w:csb1="DFFF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22502157"/>
    <w:rsid w:val="2D437AC5"/>
    <w:rsid w:val="36F85D0C"/>
    <w:rsid w:val="65E705F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uiPriority w:val="99"/>
    <w:pPr>
      <w:spacing w:after="120"/>
    </w:pPr>
  </w:style>
  <w:style w:type="paragraph" w:styleId="14">
    <w:name w:val="Body Text 2"/>
    <w:basedOn w:val="1"/>
    <w:link w:val="145"/>
    <w:unhideWhenUsed/>
    <w:uiPriority w:val="99"/>
    <w:pPr>
      <w:spacing w:after="120" w:line="480" w:lineRule="auto"/>
    </w:pPr>
  </w:style>
  <w:style w:type="paragraph" w:styleId="15">
    <w:name w:val="Body Text 3"/>
    <w:basedOn w:val="1"/>
    <w:link w:val="146"/>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uiPriority w:val="99"/>
    <w:pPr>
      <w:tabs>
        <w:tab w:val="center" w:pos="4680"/>
        <w:tab w:val="right" w:pos="9360"/>
      </w:tabs>
      <w:spacing w:after="0" w:line="240" w:lineRule="auto"/>
    </w:pPr>
  </w:style>
  <w:style w:type="paragraph" w:styleId="19">
    <w:name w:val="header"/>
    <w:basedOn w:val="1"/>
    <w:link w:val="135"/>
    <w:unhideWhenUsed/>
    <w:uiPriority w:val="99"/>
    <w:pPr>
      <w:tabs>
        <w:tab w:val="center" w:pos="4680"/>
        <w:tab w:val="right" w:pos="9360"/>
      </w:tabs>
      <w:spacing w:after="0" w:line="240" w:lineRule="auto"/>
    </w:pPr>
  </w:style>
  <w:style w:type="paragraph" w:styleId="20">
    <w:name w:val="List"/>
    <w:basedOn w:val="1"/>
    <w:unhideWhenUsed/>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uiPriority w:val="99"/>
    <w:pPr>
      <w:ind w:left="1080" w:hanging="360"/>
      <w:contextualSpacing/>
    </w:pPr>
  </w:style>
  <w:style w:type="paragraph" w:styleId="23">
    <w:name w:val="List Bullet"/>
    <w:basedOn w:val="1"/>
    <w:unhideWhenUsed/>
    <w:uiPriority w:val="99"/>
    <w:pPr>
      <w:numPr>
        <w:ilvl w:val="0"/>
        <w:numId w:val="1"/>
      </w:numPr>
      <w:contextualSpacing/>
    </w:pPr>
  </w:style>
  <w:style w:type="paragraph" w:styleId="24">
    <w:name w:val="List Bullet 2"/>
    <w:basedOn w:val="1"/>
    <w:unhideWhenUsed/>
    <w:uiPriority w:val="99"/>
    <w:pPr>
      <w:numPr>
        <w:ilvl w:val="0"/>
        <w:numId w:val="2"/>
      </w:numPr>
      <w:contextualSpacing/>
    </w:pPr>
  </w:style>
  <w:style w:type="paragraph" w:styleId="25">
    <w:name w:val="List Bullet 3"/>
    <w:basedOn w:val="1"/>
    <w:unhideWhenUsed/>
    <w:uiPriority w:val="99"/>
    <w:pPr>
      <w:numPr>
        <w:ilvl w:val="0"/>
        <w:numId w:val="3"/>
      </w:numPr>
      <w:contextualSpacing/>
    </w:pPr>
  </w:style>
  <w:style w:type="paragraph" w:styleId="26">
    <w:name w:val="List Continue"/>
    <w:basedOn w:val="1"/>
    <w:unhideWhenUsed/>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uiPriority w:val="99"/>
    <w:pPr>
      <w:numPr>
        <w:ilvl w:val="0"/>
        <w:numId w:val="6"/>
      </w:numPr>
      <w:contextualSpacing/>
    </w:pPr>
  </w:style>
  <w:style w:type="paragraph" w:styleId="32">
    <w:name w:val="macro"/>
    <w:link w:val="147"/>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uiPriority w:val="99"/>
  </w:style>
  <w:style w:type="character" w:customStyle="1" w:styleId="136">
    <w:name w:val="Footer Char"/>
    <w:basedOn w:val="11"/>
    <w:link w:val="18"/>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uiPriority w:val="99"/>
  </w:style>
  <w:style w:type="character" w:customStyle="1" w:styleId="145">
    <w:name w:val="Body Text 2 Char"/>
    <w:basedOn w:val="11"/>
    <w:link w:val="14"/>
    <w:uiPriority w:val="99"/>
  </w:style>
  <w:style w:type="character" w:customStyle="1" w:styleId="146">
    <w:name w:val="Body Text 3 Char"/>
    <w:basedOn w:val="11"/>
    <w:link w:val="15"/>
    <w:uiPriority w:val="99"/>
    <w:rPr>
      <w:sz w:val="16"/>
      <w:szCs w:val="16"/>
    </w:rPr>
  </w:style>
  <w:style w:type="character" w:customStyle="1" w:styleId="147">
    <w:name w:val="Macro Text Char"/>
    <w:basedOn w:val="11"/>
    <w:link w:val="32"/>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qFormat/>
    <w:uiPriority w:val="29"/>
    <w:rPr>
      <w:i/>
      <w:iCs/>
      <w:color w:val="000000" w:themeColor="text1"/>
      <w14:textFill>
        <w14:solidFill>
          <w14:schemeClr w14:val="tx1"/>
        </w14:solidFill>
      </w14:textFill>
    </w:rPr>
  </w:style>
  <w:style w:type="character" w:customStyle="1" w:styleId="150">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qFormat/>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15</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krist</cp:lastModifiedBy>
  <dcterms:modified xsi:type="dcterms:W3CDTF">2025-05-02T14:50:46Z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BE73C850B16547D7B6D335332CD0B03F_13</vt:lpwstr>
  </property>
</Properties>
</file>