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187C23">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color w:val="auto"/>
          <w:sz w:val="24"/>
          <w:szCs w:val="24"/>
          <w:lang w:val="en-GB"/>
        </w:rPr>
      </w:pPr>
      <w:r>
        <w:rPr>
          <w:rFonts w:hint="default" w:ascii="Cambria" w:hAnsi="Cambria" w:cs="Cambria"/>
          <w:color w:val="auto"/>
          <w:sz w:val="24"/>
          <w:szCs w:val="24"/>
          <w:lang w:val="en-GB"/>
        </w:rPr>
        <w:t>ASSIGNMENT 2 REPORT</w:t>
      </w:r>
    </w:p>
    <w:p w14:paraId="7BC76BD2">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i/>
          <w:iCs/>
          <w:color w:val="auto"/>
          <w:sz w:val="24"/>
          <w:szCs w:val="24"/>
        </w:rPr>
      </w:pPr>
      <w:r>
        <w:rPr>
          <w:rFonts w:hint="default" w:ascii="Cambria" w:hAnsi="Cambria" w:cs="Cambria"/>
          <w:i/>
          <w:iCs/>
          <w:color w:val="auto"/>
          <w:sz w:val="24"/>
          <w:szCs w:val="24"/>
        </w:rPr>
        <w:t>1. Introduction</w:t>
      </w:r>
    </w:p>
    <w:p w14:paraId="5DF8EB8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This report examines vegetation dynamics in the Mount Kenya rangelands</w:t>
      </w:r>
      <w:r>
        <w:rPr>
          <w:rFonts w:hint="default" w:ascii="Cambria" w:hAnsi="Cambria" w:cs="Cambria"/>
          <w:color w:val="auto"/>
          <w:lang w:val="en-GB"/>
        </w:rPr>
        <w:t xml:space="preserve"> </w:t>
      </w:r>
      <w:r>
        <w:rPr>
          <w:rFonts w:hint="default" w:ascii="Cambria" w:hAnsi="Cambria" w:cs="Cambria"/>
          <w:color w:val="auto"/>
        </w:rPr>
        <w:t>a semi‑arid, pastoral landscape characterized by bimodal rainfall (long rains Mar–May, short rains Oct–Dec) and significant altitudinal gradients. I compare two consecutive annual periods (Period A: 1 Mar 2022–28 Feb 2023; Period B: 1 Mar 2023–29 Feb 2024) using Sentinel‑2 surface reflectance composites to derive key vegetation structure and moisture indices.</w:t>
      </w:r>
    </w:p>
    <w:p w14:paraId="0D86E4A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7ABB8DB0">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i/>
          <w:iCs/>
          <w:color w:val="auto"/>
          <w:sz w:val="24"/>
          <w:szCs w:val="24"/>
        </w:rPr>
      </w:pPr>
      <w:r>
        <w:rPr>
          <w:rFonts w:hint="default" w:ascii="Cambria" w:hAnsi="Cambria" w:cs="Cambria"/>
          <w:i/>
          <w:iCs/>
          <w:color w:val="auto"/>
          <w:sz w:val="24"/>
          <w:szCs w:val="24"/>
        </w:rPr>
        <w:t>2. Study Area and Period</w:t>
      </w:r>
    </w:p>
    <w:p w14:paraId="2B68A70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The Mount Kenya rangelands span elevations from 1,500 to 3,000 m, supporting grasses, shrubs, and scattered trees. Pastoral livelihoods depend on seasonal forage availability. Variability in rainfall can lead to drought stress or forage abundance. My analysis covers two full hydrological cycles to capture interannual variability in phenology and moisture.</w:t>
      </w:r>
    </w:p>
    <w:p w14:paraId="2943D01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bookmarkStart w:id="0" w:name="_GoBack"/>
      <w:bookmarkEnd w:id="0"/>
    </w:p>
    <w:p w14:paraId="41CD9650">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i/>
          <w:iCs/>
          <w:color w:val="auto"/>
          <w:sz w:val="24"/>
          <w:szCs w:val="24"/>
        </w:rPr>
      </w:pPr>
      <w:r>
        <w:rPr>
          <w:rFonts w:hint="default" w:ascii="Cambria" w:hAnsi="Cambria" w:cs="Cambria"/>
          <w:i/>
          <w:iCs/>
          <w:color w:val="auto"/>
          <w:sz w:val="24"/>
          <w:szCs w:val="24"/>
        </w:rPr>
        <w:t>3. Choice of Vegetation Indices</w:t>
      </w:r>
    </w:p>
    <w:p w14:paraId="43E1A6B5">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I selected three indices tailored to rangeland monitoring:</w:t>
      </w:r>
      <w:r>
        <w:rPr>
          <w:rFonts w:hint="default" w:ascii="Cambria" w:hAnsi="Cambria" w:cs="Cambria"/>
          <w:color w:val="auto"/>
        </w:rPr>
        <w:br w:type="textWrapping"/>
      </w:r>
      <w:r>
        <w:rPr>
          <w:rFonts w:hint="default" w:ascii="Cambria" w:hAnsi="Cambria" w:cs="Cambria"/>
          <w:color w:val="auto"/>
        </w:rPr>
        <w:t>-EVI (Enhanced Vegetation Index):Sensitive to canopy greenness and optimized under low‐leaf‐area conditions in sparse rangelands.</w:t>
      </w:r>
      <w:r>
        <w:rPr>
          <w:rFonts w:hint="default" w:ascii="Cambria" w:hAnsi="Cambria" w:cs="Cambria"/>
          <w:color w:val="auto"/>
        </w:rPr>
        <w:br w:type="textWrapping"/>
      </w:r>
      <w:r>
        <w:rPr>
          <w:rFonts w:hint="default" w:ascii="Cambria" w:hAnsi="Cambria" w:cs="Cambria"/>
          <w:color w:val="auto"/>
        </w:rPr>
        <w:t>- NDMI (Normalized Difference Moisture Index): Captures water content in vegetation and soils, essential for assessing forage moisture during dry and wet seasons.</w:t>
      </w:r>
      <w:r>
        <w:rPr>
          <w:rFonts w:hint="default" w:ascii="Cambria" w:hAnsi="Cambria" w:cs="Cambria"/>
          <w:color w:val="auto"/>
        </w:rPr>
        <w:br w:type="textWrapping"/>
      </w:r>
      <w:r>
        <w:rPr>
          <w:rFonts w:hint="default" w:ascii="Cambria" w:hAnsi="Cambria" w:cs="Cambria"/>
          <w:color w:val="auto"/>
        </w:rPr>
        <w:t>- MSAVI (Modified Soil‑Adjusted Vegetation Index): Mitigates soil brightness effects, improving vegetation signal detection where ground cover is sparse.</w:t>
      </w:r>
    </w:p>
    <w:p w14:paraId="2239993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6D4870C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5311A71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0A240FCF">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49ABCC51">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i/>
          <w:iCs/>
          <w:color w:val="auto"/>
          <w:sz w:val="24"/>
          <w:szCs w:val="24"/>
        </w:rPr>
      </w:pPr>
      <w:r>
        <w:rPr>
          <w:rFonts w:hint="default" w:ascii="Cambria" w:hAnsi="Cambria" w:cs="Cambria"/>
          <w:i/>
          <w:iCs/>
          <w:color w:val="auto"/>
          <w:sz w:val="24"/>
          <w:szCs w:val="24"/>
        </w:rPr>
        <w:t>4. Results</w:t>
      </w:r>
    </w:p>
    <w:p w14:paraId="5BD2A24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4.1 Summary Statistics by Index and Period</w:t>
      </w:r>
    </w:p>
    <w:tbl>
      <w:tblPr>
        <w:tblStyle w:val="4"/>
        <w:tblW w:w="0" w:type="auto"/>
        <w:tblInd w:w="0" w:type="dxa"/>
        <w:tblLayout w:type="autofit"/>
        <w:tblCellMar>
          <w:top w:w="0" w:type="dxa"/>
          <w:left w:w="108" w:type="dxa"/>
          <w:bottom w:w="0" w:type="dxa"/>
          <w:right w:w="108" w:type="dxa"/>
        </w:tblCellMar>
      </w:tblPr>
      <w:tblGrid>
        <w:gridCol w:w="1234"/>
        <w:gridCol w:w="1234"/>
        <w:gridCol w:w="1234"/>
        <w:gridCol w:w="1234"/>
        <w:gridCol w:w="1234"/>
        <w:gridCol w:w="1234"/>
        <w:gridCol w:w="1234"/>
      </w:tblGrid>
      <w:tr w14:paraId="5966B33F">
        <w:tblPrEx>
          <w:tblCellMar>
            <w:top w:w="0" w:type="dxa"/>
            <w:left w:w="108" w:type="dxa"/>
            <w:bottom w:w="0" w:type="dxa"/>
            <w:right w:w="108" w:type="dxa"/>
          </w:tblCellMar>
        </w:tblPrEx>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588C4BA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Period</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3D149AE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Index</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49A8789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Mean</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3589F70F">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Median</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6A85950A">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Std Dev</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5BAC81A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10th %ile</w:t>
            </w:r>
          </w:p>
        </w:tc>
        <w:tc>
          <w:tcPr>
            <w:tcW w:w="1234" w:type="dxa"/>
            <w:tcBorders>
              <w:top w:val="single" w:color="F79646" w:sz="8" w:space="0"/>
              <w:left w:val="single" w:color="F79646" w:sz="8" w:space="0"/>
              <w:bottom w:val="single" w:color="FFFFFF" w:sz="18" w:space="0"/>
              <w:right w:val="single" w:color="F79646" w:sz="8" w:space="0"/>
            </w:tcBorders>
            <w:shd w:val="clear" w:color="auto" w:fill="F79646"/>
          </w:tcPr>
          <w:p w14:paraId="442E576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90th %ile</w:t>
            </w:r>
          </w:p>
        </w:tc>
      </w:tr>
      <w:tr w14:paraId="472AE0B3">
        <w:tblPrEx>
          <w:tblCellMar>
            <w:top w:w="0" w:type="dxa"/>
            <w:left w:w="108" w:type="dxa"/>
            <w:bottom w:w="0" w:type="dxa"/>
            <w:right w:w="108" w:type="dxa"/>
          </w:tblCellMar>
        </w:tblPrEx>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09777F8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A</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7344C20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EVI</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5B4AD12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0.1556</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638EA9B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0.1338</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3CA2607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0.0765</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6944613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0.0833</w:t>
            </w:r>
          </w:p>
        </w:tc>
        <w:tc>
          <w:tcPr>
            <w:tcW w:w="1234" w:type="dxa"/>
            <w:tcBorders>
              <w:top w:val="single" w:color="FFFFFF" w:sz="18" w:space="0"/>
              <w:left w:val="single" w:color="F79646" w:sz="8" w:space="0"/>
              <w:bottom w:val="single" w:color="F79646" w:sz="8" w:space="0"/>
              <w:right w:val="single" w:color="F79646" w:sz="8" w:space="0"/>
            </w:tcBorders>
            <w:shd w:val="clear" w:color="auto" w:fill="FBD5B5"/>
          </w:tcPr>
          <w:p w14:paraId="40F1D43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0.2641</w:t>
            </w:r>
          </w:p>
        </w:tc>
      </w:tr>
      <w:tr w14:paraId="37C4AB09">
        <w:tblPrEx>
          <w:tblCellMar>
            <w:top w:w="0" w:type="dxa"/>
            <w:left w:w="108" w:type="dxa"/>
            <w:bottom w:w="0" w:type="dxa"/>
            <w:right w:w="108" w:type="dxa"/>
          </w:tblCellMar>
        </w:tblPrEx>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34E2CDD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B</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192228B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EVI</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4859D32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0.2597</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6B1B526E">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0.2268</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72907CB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0.2067</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2FA288F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0.0974</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61BD5D59">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0.4755</w:t>
            </w:r>
          </w:p>
        </w:tc>
      </w:tr>
      <w:tr w14:paraId="64328EC4">
        <w:tblPrEx>
          <w:tblCellMar>
            <w:top w:w="0" w:type="dxa"/>
            <w:left w:w="108" w:type="dxa"/>
            <w:bottom w:w="0" w:type="dxa"/>
            <w:right w:w="108" w:type="dxa"/>
          </w:tblCellMar>
        </w:tblPrEx>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5EA08D6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A</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4C8A8B2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NDMI</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77D9557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-0.1543</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7BB5EB9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-0.1798</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182C619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0.1016</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5FFC097C">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-0.2522</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050D994E">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-0.0168</w:t>
            </w:r>
          </w:p>
        </w:tc>
      </w:tr>
      <w:tr w14:paraId="20F8ECC1">
        <w:tblPrEx>
          <w:tblCellMar>
            <w:top w:w="0" w:type="dxa"/>
            <w:left w:w="108" w:type="dxa"/>
            <w:bottom w:w="0" w:type="dxa"/>
            <w:right w:w="108" w:type="dxa"/>
          </w:tblCellMar>
        </w:tblPrEx>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224C201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B</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0B285C2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NDMI</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031E7329">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-0.0221</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2AF21CC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-0.0574</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4270522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0.1566</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53730B2C">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-0.2004</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6C61537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0.2102</w:t>
            </w:r>
          </w:p>
        </w:tc>
      </w:tr>
      <w:tr w14:paraId="7377FD1C">
        <w:tblPrEx>
          <w:tblCellMar>
            <w:top w:w="0" w:type="dxa"/>
            <w:left w:w="108" w:type="dxa"/>
            <w:bottom w:w="0" w:type="dxa"/>
            <w:right w:w="108" w:type="dxa"/>
          </w:tblCellMar>
        </w:tblPrEx>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008554D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A</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1CF4B31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MSAVI</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58C86DE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0.1363</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6499F8A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0.1199</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485BC63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0.0650</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3ED605E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0.0714</w:t>
            </w:r>
          </w:p>
        </w:tc>
        <w:tc>
          <w:tcPr>
            <w:tcW w:w="1234" w:type="dxa"/>
            <w:tcBorders>
              <w:top w:val="single" w:color="F79646" w:sz="8" w:space="0"/>
              <w:left w:val="single" w:color="F79646" w:sz="8" w:space="0"/>
              <w:bottom w:val="single" w:color="F79646" w:sz="8" w:space="0"/>
              <w:right w:val="single" w:color="F79646" w:sz="8" w:space="0"/>
            </w:tcBorders>
            <w:shd w:val="clear" w:color="auto" w:fill="FBD5B5"/>
          </w:tcPr>
          <w:p w14:paraId="1EBC084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0.2255</w:t>
            </w:r>
          </w:p>
        </w:tc>
      </w:tr>
      <w:tr w14:paraId="4B4517A2">
        <w:tblPrEx>
          <w:tblCellMar>
            <w:top w:w="0" w:type="dxa"/>
            <w:left w:w="108" w:type="dxa"/>
            <w:bottom w:w="0" w:type="dxa"/>
            <w:right w:w="108" w:type="dxa"/>
          </w:tblCellMar>
        </w:tblPrEx>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7B7738C9">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B</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529B94B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MSAVI</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06CAC04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0.2260</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0882B0E5">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0.1969</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7EA99947">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0.1259</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0C0AA7EF">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0.0886</w:t>
            </w:r>
          </w:p>
        </w:tc>
        <w:tc>
          <w:tcPr>
            <w:tcW w:w="1234" w:type="dxa"/>
            <w:tcBorders>
              <w:top w:val="single" w:color="F79646" w:sz="8" w:space="0"/>
              <w:left w:val="single" w:color="F79646" w:sz="8" w:space="0"/>
              <w:bottom w:val="single" w:color="F79646" w:sz="8" w:space="0"/>
              <w:right w:val="single" w:color="F79646" w:sz="8" w:space="0"/>
            </w:tcBorders>
            <w:shd w:val="clear" w:color="auto" w:fill="FFFFFF"/>
          </w:tcPr>
          <w:p w14:paraId="4B72F61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0.4111</w:t>
            </w:r>
          </w:p>
        </w:tc>
      </w:tr>
    </w:tbl>
    <w:p w14:paraId="1C26074C">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13DCDACE">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4.2 Change Analysis (Period A → Period B)</w:t>
      </w:r>
    </w:p>
    <w:tbl>
      <w:tblPr>
        <w:tblStyle w:val="4"/>
        <w:tblW w:w="0" w:type="auto"/>
        <w:tblInd w:w="0" w:type="dxa"/>
        <w:tblLayout w:type="fixed"/>
        <w:tblCellMar>
          <w:top w:w="0" w:type="dxa"/>
          <w:left w:w="108" w:type="dxa"/>
          <w:bottom w:w="0" w:type="dxa"/>
          <w:right w:w="108" w:type="dxa"/>
        </w:tblCellMar>
      </w:tblPr>
      <w:tblGrid>
        <w:gridCol w:w="933"/>
        <w:gridCol w:w="1026"/>
        <w:gridCol w:w="972"/>
        <w:gridCol w:w="996"/>
        <w:gridCol w:w="1272"/>
        <w:gridCol w:w="1206"/>
        <w:gridCol w:w="1194"/>
        <w:gridCol w:w="1149"/>
      </w:tblGrid>
      <w:tr w14:paraId="5466635E">
        <w:tblPrEx>
          <w:tblCellMar>
            <w:top w:w="0" w:type="dxa"/>
            <w:left w:w="108" w:type="dxa"/>
            <w:bottom w:w="0" w:type="dxa"/>
            <w:right w:w="108" w:type="dxa"/>
          </w:tblCellMar>
        </w:tblPrEx>
        <w:tc>
          <w:tcPr>
            <w:tcW w:w="933" w:type="dxa"/>
            <w:tcBorders>
              <w:top w:val="single" w:color="F79646" w:sz="8" w:space="0"/>
              <w:left w:val="single" w:color="F79646" w:sz="8" w:space="0"/>
              <w:bottom w:val="single" w:color="FFFFFF" w:sz="18" w:space="0"/>
              <w:right w:val="single" w:color="F79646" w:sz="8" w:space="0"/>
            </w:tcBorders>
            <w:shd w:val="clear" w:color="auto" w:fill="F79646"/>
          </w:tcPr>
          <w:p w14:paraId="6F5D14CF">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Index</w:t>
            </w:r>
          </w:p>
        </w:tc>
        <w:tc>
          <w:tcPr>
            <w:tcW w:w="1026" w:type="dxa"/>
            <w:tcBorders>
              <w:top w:val="single" w:color="F79646" w:sz="8" w:space="0"/>
              <w:left w:val="single" w:color="F79646" w:sz="8" w:space="0"/>
              <w:bottom w:val="single" w:color="FFFFFF" w:sz="18" w:space="0"/>
              <w:right w:val="single" w:color="F79646" w:sz="8" w:space="0"/>
            </w:tcBorders>
            <w:shd w:val="clear" w:color="auto" w:fill="F79646"/>
          </w:tcPr>
          <w:p w14:paraId="287033E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Mean_A</w:t>
            </w:r>
          </w:p>
        </w:tc>
        <w:tc>
          <w:tcPr>
            <w:tcW w:w="972" w:type="dxa"/>
            <w:tcBorders>
              <w:top w:val="single" w:color="F79646" w:sz="8" w:space="0"/>
              <w:left w:val="single" w:color="F79646" w:sz="8" w:space="0"/>
              <w:bottom w:val="single" w:color="FFFFFF" w:sz="18" w:space="0"/>
              <w:right w:val="single" w:color="F79646" w:sz="8" w:space="0"/>
            </w:tcBorders>
            <w:shd w:val="clear" w:color="auto" w:fill="F79646"/>
          </w:tcPr>
          <w:p w14:paraId="782C4EF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Mean_B</w:t>
            </w:r>
          </w:p>
        </w:tc>
        <w:tc>
          <w:tcPr>
            <w:tcW w:w="996" w:type="dxa"/>
            <w:tcBorders>
              <w:top w:val="single" w:color="F79646" w:sz="8" w:space="0"/>
              <w:left w:val="single" w:color="F79646" w:sz="8" w:space="0"/>
              <w:bottom w:val="single" w:color="FFFFFF" w:sz="18" w:space="0"/>
              <w:right w:val="single" w:color="F79646" w:sz="8" w:space="0"/>
            </w:tcBorders>
            <w:shd w:val="clear" w:color="auto" w:fill="F79646"/>
          </w:tcPr>
          <w:p w14:paraId="772D3AB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Δ Mean</w:t>
            </w:r>
          </w:p>
        </w:tc>
        <w:tc>
          <w:tcPr>
            <w:tcW w:w="1272" w:type="dxa"/>
            <w:tcBorders>
              <w:top w:val="single" w:color="F79646" w:sz="8" w:space="0"/>
              <w:left w:val="single" w:color="F79646" w:sz="8" w:space="0"/>
              <w:bottom w:val="single" w:color="FFFFFF" w:sz="18" w:space="0"/>
              <w:right w:val="single" w:color="F79646" w:sz="8" w:space="0"/>
            </w:tcBorders>
            <w:shd w:val="clear" w:color="auto" w:fill="F79646"/>
          </w:tcPr>
          <w:p w14:paraId="76398A79">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 Δ Mean</w:t>
            </w:r>
          </w:p>
        </w:tc>
        <w:tc>
          <w:tcPr>
            <w:tcW w:w="1206" w:type="dxa"/>
            <w:tcBorders>
              <w:top w:val="single" w:color="F79646" w:sz="8" w:space="0"/>
              <w:left w:val="single" w:color="F79646" w:sz="8" w:space="0"/>
              <w:bottom w:val="single" w:color="FFFFFF" w:sz="18" w:space="0"/>
              <w:right w:val="single" w:color="F79646" w:sz="8" w:space="0"/>
            </w:tcBorders>
            <w:shd w:val="clear" w:color="auto" w:fill="F79646"/>
          </w:tcPr>
          <w:p w14:paraId="000A4B6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Median_A</w:t>
            </w:r>
          </w:p>
        </w:tc>
        <w:tc>
          <w:tcPr>
            <w:tcW w:w="1194" w:type="dxa"/>
            <w:tcBorders>
              <w:top w:val="single" w:color="F79646" w:sz="8" w:space="0"/>
              <w:left w:val="single" w:color="F79646" w:sz="8" w:space="0"/>
              <w:bottom w:val="single" w:color="FFFFFF" w:sz="18" w:space="0"/>
              <w:right w:val="single" w:color="F79646" w:sz="8" w:space="0"/>
            </w:tcBorders>
            <w:shd w:val="clear" w:color="auto" w:fill="F79646"/>
          </w:tcPr>
          <w:p w14:paraId="12943DA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Median_B</w:t>
            </w:r>
          </w:p>
        </w:tc>
        <w:tc>
          <w:tcPr>
            <w:tcW w:w="1149" w:type="dxa"/>
            <w:tcBorders>
              <w:top w:val="single" w:color="F79646" w:sz="8" w:space="0"/>
              <w:left w:val="single" w:color="F79646" w:sz="8" w:space="0"/>
              <w:bottom w:val="single" w:color="FFFFFF" w:sz="18" w:space="0"/>
              <w:right w:val="single" w:color="F79646" w:sz="8" w:space="0"/>
            </w:tcBorders>
            <w:shd w:val="clear" w:color="auto" w:fill="F79646"/>
          </w:tcPr>
          <w:p w14:paraId="537F18F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FFFFFF"/>
              </w:rPr>
            </w:pPr>
            <w:r>
              <w:rPr>
                <w:rFonts w:hint="default" w:ascii="Cambria" w:hAnsi="Cambria" w:cs="Cambria"/>
                <w:color w:val="FFFFFF"/>
              </w:rPr>
              <w:t>Δ Median</w:t>
            </w:r>
          </w:p>
        </w:tc>
      </w:tr>
      <w:tr w14:paraId="05D0BA62">
        <w:tblPrEx>
          <w:tblCellMar>
            <w:top w:w="0" w:type="dxa"/>
            <w:left w:w="108" w:type="dxa"/>
            <w:bottom w:w="0" w:type="dxa"/>
            <w:right w:w="108" w:type="dxa"/>
          </w:tblCellMar>
        </w:tblPrEx>
        <w:tc>
          <w:tcPr>
            <w:tcW w:w="933" w:type="dxa"/>
            <w:tcBorders>
              <w:top w:val="single" w:color="FFFFFF" w:sz="18" w:space="0"/>
              <w:left w:val="single" w:color="F79646" w:sz="8" w:space="0"/>
              <w:bottom w:val="single" w:color="F79646" w:sz="8" w:space="0"/>
              <w:right w:val="single" w:color="F79646" w:sz="8" w:space="0"/>
            </w:tcBorders>
            <w:shd w:val="clear" w:color="auto" w:fill="FBD5B5"/>
          </w:tcPr>
          <w:p w14:paraId="355F99F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EVI</w:t>
            </w:r>
          </w:p>
        </w:tc>
        <w:tc>
          <w:tcPr>
            <w:tcW w:w="1026" w:type="dxa"/>
            <w:tcBorders>
              <w:top w:val="single" w:color="FFFFFF" w:sz="18" w:space="0"/>
              <w:left w:val="single" w:color="F79646" w:sz="8" w:space="0"/>
              <w:bottom w:val="single" w:color="F79646" w:sz="8" w:space="0"/>
              <w:right w:val="single" w:color="F79646" w:sz="8" w:space="0"/>
            </w:tcBorders>
            <w:shd w:val="clear" w:color="auto" w:fill="FBD5B5"/>
          </w:tcPr>
          <w:p w14:paraId="65E520C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0.1556</w:t>
            </w:r>
          </w:p>
        </w:tc>
        <w:tc>
          <w:tcPr>
            <w:tcW w:w="972" w:type="dxa"/>
            <w:tcBorders>
              <w:top w:val="single" w:color="FFFFFF" w:sz="18" w:space="0"/>
              <w:left w:val="single" w:color="F79646" w:sz="8" w:space="0"/>
              <w:bottom w:val="single" w:color="F79646" w:sz="8" w:space="0"/>
              <w:right w:val="single" w:color="F79646" w:sz="8" w:space="0"/>
            </w:tcBorders>
            <w:shd w:val="clear" w:color="auto" w:fill="FBD5B5"/>
          </w:tcPr>
          <w:p w14:paraId="08746EAB">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0.2597</w:t>
            </w:r>
          </w:p>
        </w:tc>
        <w:tc>
          <w:tcPr>
            <w:tcW w:w="996" w:type="dxa"/>
            <w:tcBorders>
              <w:top w:val="single" w:color="FFFFFF" w:sz="18" w:space="0"/>
              <w:left w:val="single" w:color="F79646" w:sz="8" w:space="0"/>
              <w:bottom w:val="single" w:color="F79646" w:sz="8" w:space="0"/>
              <w:right w:val="single" w:color="F79646" w:sz="8" w:space="0"/>
            </w:tcBorders>
            <w:shd w:val="clear" w:color="auto" w:fill="FBD5B5"/>
          </w:tcPr>
          <w:p w14:paraId="1219DD5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+0.1040</w:t>
            </w:r>
          </w:p>
        </w:tc>
        <w:tc>
          <w:tcPr>
            <w:tcW w:w="1272" w:type="dxa"/>
            <w:tcBorders>
              <w:top w:val="single" w:color="FFFFFF" w:sz="18" w:space="0"/>
              <w:left w:val="single" w:color="F79646" w:sz="8" w:space="0"/>
              <w:bottom w:val="single" w:color="F79646" w:sz="8" w:space="0"/>
              <w:right w:val="single" w:color="F79646" w:sz="8" w:space="0"/>
            </w:tcBorders>
            <w:shd w:val="clear" w:color="auto" w:fill="FBD5B5"/>
          </w:tcPr>
          <w:p w14:paraId="48B6F3B2">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+66.8%</w:t>
            </w:r>
          </w:p>
        </w:tc>
        <w:tc>
          <w:tcPr>
            <w:tcW w:w="1206" w:type="dxa"/>
            <w:tcBorders>
              <w:top w:val="single" w:color="FFFFFF" w:sz="18" w:space="0"/>
              <w:left w:val="single" w:color="F79646" w:sz="8" w:space="0"/>
              <w:bottom w:val="single" w:color="F79646" w:sz="8" w:space="0"/>
              <w:right w:val="single" w:color="F79646" w:sz="8" w:space="0"/>
            </w:tcBorders>
            <w:shd w:val="clear" w:color="auto" w:fill="FBD5B5"/>
          </w:tcPr>
          <w:p w14:paraId="170B56E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0.1338</w:t>
            </w:r>
          </w:p>
        </w:tc>
        <w:tc>
          <w:tcPr>
            <w:tcW w:w="1194" w:type="dxa"/>
            <w:tcBorders>
              <w:top w:val="single" w:color="FFFFFF" w:sz="18" w:space="0"/>
              <w:left w:val="single" w:color="F79646" w:sz="8" w:space="0"/>
              <w:bottom w:val="single" w:color="F79646" w:sz="8" w:space="0"/>
              <w:right w:val="single" w:color="F79646" w:sz="8" w:space="0"/>
            </w:tcBorders>
            <w:shd w:val="clear" w:color="auto" w:fill="FBD5B5"/>
          </w:tcPr>
          <w:p w14:paraId="401A4E4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0.2268</w:t>
            </w:r>
          </w:p>
        </w:tc>
        <w:tc>
          <w:tcPr>
            <w:tcW w:w="1149" w:type="dxa"/>
            <w:tcBorders>
              <w:top w:val="single" w:color="FFFFFF" w:sz="18" w:space="0"/>
              <w:left w:val="single" w:color="F79646" w:sz="8" w:space="0"/>
              <w:bottom w:val="single" w:color="F79646" w:sz="8" w:space="0"/>
              <w:right w:val="single" w:color="F79646" w:sz="8" w:space="0"/>
            </w:tcBorders>
            <w:shd w:val="clear" w:color="auto" w:fill="FBD5B5"/>
          </w:tcPr>
          <w:p w14:paraId="3EA44DCA">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+0.0931</w:t>
            </w:r>
          </w:p>
        </w:tc>
      </w:tr>
      <w:tr w14:paraId="460EF6E3">
        <w:tblPrEx>
          <w:tblCellMar>
            <w:top w:w="0" w:type="dxa"/>
            <w:left w:w="108" w:type="dxa"/>
            <w:bottom w:w="0" w:type="dxa"/>
            <w:right w:w="108" w:type="dxa"/>
          </w:tblCellMar>
        </w:tblPrEx>
        <w:tc>
          <w:tcPr>
            <w:tcW w:w="933" w:type="dxa"/>
            <w:tcBorders>
              <w:top w:val="single" w:color="F79646" w:sz="8" w:space="0"/>
              <w:left w:val="single" w:color="F79646" w:sz="8" w:space="0"/>
              <w:bottom w:val="single" w:color="F79646" w:sz="8" w:space="0"/>
              <w:right w:val="single" w:color="F79646" w:sz="8" w:space="0"/>
            </w:tcBorders>
            <w:shd w:val="clear" w:color="auto" w:fill="FFFFFF"/>
          </w:tcPr>
          <w:p w14:paraId="2156836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NDMI</w:t>
            </w:r>
          </w:p>
        </w:tc>
        <w:tc>
          <w:tcPr>
            <w:tcW w:w="1026" w:type="dxa"/>
            <w:tcBorders>
              <w:top w:val="single" w:color="F79646" w:sz="8" w:space="0"/>
              <w:left w:val="single" w:color="F79646" w:sz="8" w:space="0"/>
              <w:bottom w:val="single" w:color="F79646" w:sz="8" w:space="0"/>
              <w:right w:val="single" w:color="F79646" w:sz="8" w:space="0"/>
            </w:tcBorders>
            <w:shd w:val="clear" w:color="auto" w:fill="FFFFFF"/>
          </w:tcPr>
          <w:p w14:paraId="5F95C4EC">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-0.1543</w:t>
            </w:r>
          </w:p>
        </w:tc>
        <w:tc>
          <w:tcPr>
            <w:tcW w:w="972" w:type="dxa"/>
            <w:tcBorders>
              <w:top w:val="single" w:color="F79646" w:sz="8" w:space="0"/>
              <w:left w:val="single" w:color="F79646" w:sz="8" w:space="0"/>
              <w:bottom w:val="single" w:color="F79646" w:sz="8" w:space="0"/>
              <w:right w:val="single" w:color="F79646" w:sz="8" w:space="0"/>
            </w:tcBorders>
            <w:shd w:val="clear" w:color="auto" w:fill="FFFFFF"/>
          </w:tcPr>
          <w:p w14:paraId="34C3E6D6">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-0.0221</w:t>
            </w:r>
          </w:p>
        </w:tc>
        <w:tc>
          <w:tcPr>
            <w:tcW w:w="996" w:type="dxa"/>
            <w:tcBorders>
              <w:top w:val="single" w:color="F79646" w:sz="8" w:space="0"/>
              <w:left w:val="single" w:color="F79646" w:sz="8" w:space="0"/>
              <w:bottom w:val="single" w:color="F79646" w:sz="8" w:space="0"/>
              <w:right w:val="single" w:color="F79646" w:sz="8" w:space="0"/>
            </w:tcBorders>
            <w:shd w:val="clear" w:color="auto" w:fill="FFFFFF"/>
          </w:tcPr>
          <w:p w14:paraId="351E3A5A">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+0.1322</w:t>
            </w:r>
          </w:p>
        </w:tc>
        <w:tc>
          <w:tcPr>
            <w:tcW w:w="1272" w:type="dxa"/>
            <w:tcBorders>
              <w:top w:val="single" w:color="F79646" w:sz="8" w:space="0"/>
              <w:left w:val="single" w:color="F79646" w:sz="8" w:space="0"/>
              <w:bottom w:val="single" w:color="F79646" w:sz="8" w:space="0"/>
              <w:right w:val="single" w:color="F79646" w:sz="8" w:space="0"/>
            </w:tcBorders>
            <w:shd w:val="clear" w:color="auto" w:fill="FFFFFF"/>
          </w:tcPr>
          <w:p w14:paraId="10949CB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–85.7%</w:t>
            </w:r>
          </w:p>
        </w:tc>
        <w:tc>
          <w:tcPr>
            <w:tcW w:w="1206" w:type="dxa"/>
            <w:tcBorders>
              <w:top w:val="single" w:color="F79646" w:sz="8" w:space="0"/>
              <w:left w:val="single" w:color="F79646" w:sz="8" w:space="0"/>
              <w:bottom w:val="single" w:color="F79646" w:sz="8" w:space="0"/>
              <w:right w:val="single" w:color="F79646" w:sz="8" w:space="0"/>
            </w:tcBorders>
            <w:shd w:val="clear" w:color="auto" w:fill="FFFFFF"/>
          </w:tcPr>
          <w:p w14:paraId="5DAEC957">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-0.1798</w:t>
            </w:r>
          </w:p>
        </w:tc>
        <w:tc>
          <w:tcPr>
            <w:tcW w:w="1194" w:type="dxa"/>
            <w:tcBorders>
              <w:top w:val="single" w:color="F79646" w:sz="8" w:space="0"/>
              <w:left w:val="single" w:color="F79646" w:sz="8" w:space="0"/>
              <w:bottom w:val="single" w:color="F79646" w:sz="8" w:space="0"/>
              <w:right w:val="single" w:color="F79646" w:sz="8" w:space="0"/>
            </w:tcBorders>
            <w:shd w:val="clear" w:color="auto" w:fill="FFFFFF"/>
          </w:tcPr>
          <w:p w14:paraId="3298BF8D">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-0.0574</w:t>
            </w:r>
          </w:p>
        </w:tc>
        <w:tc>
          <w:tcPr>
            <w:tcW w:w="1149" w:type="dxa"/>
            <w:tcBorders>
              <w:top w:val="single" w:color="F79646" w:sz="8" w:space="0"/>
              <w:left w:val="single" w:color="F79646" w:sz="8" w:space="0"/>
              <w:bottom w:val="single" w:color="F79646" w:sz="8" w:space="0"/>
              <w:right w:val="single" w:color="F79646" w:sz="8" w:space="0"/>
            </w:tcBorders>
            <w:shd w:val="clear" w:color="auto" w:fill="FFFFFF"/>
          </w:tcPr>
          <w:p w14:paraId="1F398607">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+0.1224</w:t>
            </w:r>
          </w:p>
        </w:tc>
      </w:tr>
      <w:tr w14:paraId="16F92597">
        <w:tblPrEx>
          <w:tblCellMar>
            <w:top w:w="0" w:type="dxa"/>
            <w:left w:w="108" w:type="dxa"/>
            <w:bottom w:w="0" w:type="dxa"/>
            <w:right w:w="108" w:type="dxa"/>
          </w:tblCellMar>
        </w:tblPrEx>
        <w:tc>
          <w:tcPr>
            <w:tcW w:w="933" w:type="dxa"/>
            <w:tcBorders>
              <w:top w:val="single" w:color="F79646" w:sz="8" w:space="0"/>
              <w:left w:val="single" w:color="F79646" w:sz="8" w:space="0"/>
              <w:bottom w:val="single" w:color="F79646" w:sz="8" w:space="0"/>
              <w:right w:val="single" w:color="F79646" w:sz="8" w:space="0"/>
            </w:tcBorders>
            <w:shd w:val="clear" w:color="auto" w:fill="FBD5B5"/>
          </w:tcPr>
          <w:p w14:paraId="1BB9C16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MSAVI</w:t>
            </w:r>
          </w:p>
        </w:tc>
        <w:tc>
          <w:tcPr>
            <w:tcW w:w="1026" w:type="dxa"/>
            <w:tcBorders>
              <w:top w:val="single" w:color="F79646" w:sz="8" w:space="0"/>
              <w:left w:val="single" w:color="F79646" w:sz="8" w:space="0"/>
              <w:bottom w:val="single" w:color="F79646" w:sz="8" w:space="0"/>
              <w:right w:val="single" w:color="F79646" w:sz="8" w:space="0"/>
            </w:tcBorders>
            <w:shd w:val="clear" w:color="auto" w:fill="FBD5B5"/>
          </w:tcPr>
          <w:p w14:paraId="23A23095">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0.1363</w:t>
            </w:r>
          </w:p>
        </w:tc>
        <w:tc>
          <w:tcPr>
            <w:tcW w:w="972" w:type="dxa"/>
            <w:tcBorders>
              <w:top w:val="single" w:color="F79646" w:sz="8" w:space="0"/>
              <w:left w:val="single" w:color="F79646" w:sz="8" w:space="0"/>
              <w:bottom w:val="single" w:color="F79646" w:sz="8" w:space="0"/>
              <w:right w:val="single" w:color="F79646" w:sz="8" w:space="0"/>
            </w:tcBorders>
            <w:shd w:val="clear" w:color="auto" w:fill="FBD5B5"/>
          </w:tcPr>
          <w:p w14:paraId="6FDC80CF">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0.2260</w:t>
            </w:r>
          </w:p>
        </w:tc>
        <w:tc>
          <w:tcPr>
            <w:tcW w:w="996" w:type="dxa"/>
            <w:tcBorders>
              <w:top w:val="single" w:color="F79646" w:sz="8" w:space="0"/>
              <w:left w:val="single" w:color="F79646" w:sz="8" w:space="0"/>
              <w:bottom w:val="single" w:color="F79646" w:sz="8" w:space="0"/>
              <w:right w:val="single" w:color="F79646" w:sz="8" w:space="0"/>
            </w:tcBorders>
            <w:shd w:val="clear" w:color="auto" w:fill="FBD5B5"/>
          </w:tcPr>
          <w:p w14:paraId="15F8DC6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+0.0897</w:t>
            </w:r>
          </w:p>
        </w:tc>
        <w:tc>
          <w:tcPr>
            <w:tcW w:w="1272" w:type="dxa"/>
            <w:tcBorders>
              <w:top w:val="single" w:color="F79646" w:sz="8" w:space="0"/>
              <w:left w:val="single" w:color="F79646" w:sz="8" w:space="0"/>
              <w:bottom w:val="single" w:color="F79646" w:sz="8" w:space="0"/>
              <w:right w:val="single" w:color="F79646" w:sz="8" w:space="0"/>
            </w:tcBorders>
            <w:shd w:val="clear" w:color="auto" w:fill="FBD5B5"/>
          </w:tcPr>
          <w:p w14:paraId="0B80F7E2">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+65.8%</w:t>
            </w:r>
          </w:p>
        </w:tc>
        <w:tc>
          <w:tcPr>
            <w:tcW w:w="1206" w:type="dxa"/>
            <w:tcBorders>
              <w:top w:val="single" w:color="F79646" w:sz="8" w:space="0"/>
              <w:left w:val="single" w:color="F79646" w:sz="8" w:space="0"/>
              <w:bottom w:val="single" w:color="F79646" w:sz="8" w:space="0"/>
              <w:right w:val="single" w:color="F79646" w:sz="8" w:space="0"/>
            </w:tcBorders>
            <w:shd w:val="clear" w:color="auto" w:fill="FBD5B5"/>
          </w:tcPr>
          <w:p w14:paraId="62D8E511">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0.1199</w:t>
            </w:r>
          </w:p>
        </w:tc>
        <w:tc>
          <w:tcPr>
            <w:tcW w:w="1194" w:type="dxa"/>
            <w:tcBorders>
              <w:top w:val="single" w:color="F79646" w:sz="8" w:space="0"/>
              <w:left w:val="single" w:color="F79646" w:sz="8" w:space="0"/>
              <w:bottom w:val="single" w:color="F79646" w:sz="8" w:space="0"/>
              <w:right w:val="single" w:color="F79646" w:sz="8" w:space="0"/>
            </w:tcBorders>
            <w:shd w:val="clear" w:color="auto" w:fill="FBD5B5"/>
          </w:tcPr>
          <w:p w14:paraId="1FA0259E">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0.1969</w:t>
            </w:r>
          </w:p>
        </w:tc>
        <w:tc>
          <w:tcPr>
            <w:tcW w:w="1149" w:type="dxa"/>
            <w:tcBorders>
              <w:top w:val="single" w:color="F79646" w:sz="8" w:space="0"/>
              <w:left w:val="single" w:color="F79646" w:sz="8" w:space="0"/>
              <w:bottom w:val="single" w:color="F79646" w:sz="8" w:space="0"/>
              <w:right w:val="single" w:color="F79646" w:sz="8" w:space="0"/>
            </w:tcBorders>
            <w:shd w:val="clear" w:color="auto" w:fill="FBD5B5"/>
          </w:tcPr>
          <w:p w14:paraId="03D85E4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000000"/>
              </w:rPr>
            </w:pPr>
            <w:r>
              <w:rPr>
                <w:rFonts w:hint="default" w:ascii="Cambria" w:hAnsi="Cambria" w:cs="Cambria"/>
                <w:color w:val="000000"/>
              </w:rPr>
              <w:t>+0.0770</w:t>
            </w:r>
          </w:p>
        </w:tc>
      </w:tr>
    </w:tbl>
    <w:p w14:paraId="318A0423">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color w:val="auto"/>
        </w:rPr>
      </w:pPr>
    </w:p>
    <w:p w14:paraId="6179960A">
      <w:pPr>
        <w:rPr>
          <w:rFonts w:hint="default"/>
          <w:i/>
          <w:iCs/>
        </w:rPr>
      </w:pPr>
    </w:p>
    <w:p w14:paraId="49D209F3">
      <w:pPr>
        <w:rPr>
          <w:rFonts w:hint="default"/>
          <w:i/>
          <w:iCs/>
        </w:rPr>
      </w:pPr>
    </w:p>
    <w:p w14:paraId="7DD64A47">
      <w:pPr>
        <w:rPr>
          <w:rFonts w:hint="default"/>
          <w:i/>
          <w:iCs/>
        </w:rPr>
      </w:pPr>
    </w:p>
    <w:p w14:paraId="06DC5F36">
      <w:pPr>
        <w:rPr>
          <w:rFonts w:hint="default"/>
          <w:i/>
          <w:iCs/>
        </w:rPr>
      </w:pPr>
    </w:p>
    <w:p w14:paraId="1D28C0EA">
      <w:pPr>
        <w:rPr>
          <w:rFonts w:hint="default"/>
          <w:i/>
          <w:iCs/>
        </w:rPr>
      </w:pPr>
    </w:p>
    <w:p w14:paraId="4C9893A0">
      <w:pPr>
        <w:rPr>
          <w:rFonts w:hint="default"/>
          <w:i/>
          <w:iCs/>
        </w:rPr>
      </w:pPr>
    </w:p>
    <w:p w14:paraId="0525C1D6">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i/>
          <w:iCs/>
          <w:color w:val="auto"/>
          <w:sz w:val="24"/>
          <w:szCs w:val="24"/>
        </w:rPr>
      </w:pPr>
      <w:r>
        <w:rPr>
          <w:rFonts w:hint="default" w:ascii="Cambria" w:hAnsi="Cambria" w:cs="Cambria"/>
          <w:i/>
          <w:iCs/>
          <w:color w:val="auto"/>
          <w:sz w:val="24"/>
          <w:szCs w:val="24"/>
        </w:rPr>
        <w:t>5. Interpretation and Discussion</w:t>
      </w:r>
    </w:p>
    <w:p w14:paraId="67BC524A">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In the Mount Kenya rangelands, vegetation response is tightly coupled to bimodal rainfall patterns. Period B shows a pronounced increase in EVI (Mean: +0.1040, +66.8%), indicating a greener canopy likely due to above-average long rains in early 2023 and adequate short rains in late 2023. Higher peak EVI during March–May supports better forage during the primary growing season.</w:t>
      </w:r>
      <w:r>
        <w:rPr>
          <w:rFonts w:hint="default" w:ascii="Cambria" w:hAnsi="Cambria" w:cs="Cambria"/>
          <w:color w:val="auto"/>
        </w:rPr>
        <w:br w:type="textWrapping"/>
      </w:r>
      <w:r>
        <w:rPr>
          <w:rFonts w:hint="default" w:ascii="Cambria" w:hAnsi="Cambria" w:cs="Cambria"/>
          <w:color w:val="auto"/>
        </w:rPr>
        <w:t>NDMI’s shift from –0.1543 to –0.0221 (Δ +0.1322) reflects increased water content in both vegetation and soils, aligned with reports of above‑normal precipitation in October–December 2023. Improved moisture is critical for pastoralists, reducing drought stress and sustaining grazing.</w:t>
      </w:r>
      <w:r>
        <w:rPr>
          <w:rFonts w:hint="default" w:ascii="Cambria" w:hAnsi="Cambria" w:cs="Cambria"/>
          <w:color w:val="auto"/>
        </w:rPr>
        <w:br w:type="textWrapping"/>
      </w:r>
      <w:r>
        <w:rPr>
          <w:rFonts w:hint="default" w:ascii="Cambria" w:hAnsi="Cambria" w:cs="Cambria"/>
          <w:color w:val="auto"/>
        </w:rPr>
        <w:t>MSAVI’s rise (+0.0897, +65.8%) corroborates enhanced vegetation cover while accounting for exposed soils common in dry rangelands. The consistent direction of change across indices confirms a broad-scale positive ecosystem response.</w:t>
      </w:r>
      <w:r>
        <w:rPr>
          <w:rFonts w:hint="default" w:ascii="Cambria" w:hAnsi="Cambria" w:cs="Cambria"/>
          <w:color w:val="auto"/>
        </w:rPr>
        <w:br w:type="textWrapping"/>
      </w:r>
      <w:r>
        <w:rPr>
          <w:rFonts w:hint="default" w:ascii="Cambria" w:hAnsi="Cambria" w:cs="Cambria"/>
          <w:color w:val="auto"/>
        </w:rPr>
        <w:t>However, the doubling of EVI standard deviation (0.0765 → 0.2067) and similar increases in NDMI and MSAVI variability indicate greater spatial heterogeneity. This suggests localized management interventions</w:t>
      </w:r>
      <w:r>
        <w:rPr>
          <w:rFonts w:hint="default" w:ascii="Cambria" w:hAnsi="Cambria" w:cs="Cambria"/>
          <w:color w:val="auto"/>
          <w:lang w:val="en-GB"/>
        </w:rPr>
        <w:t xml:space="preserve"> </w:t>
      </w:r>
      <w:r>
        <w:rPr>
          <w:rFonts w:hint="default" w:ascii="Cambria" w:hAnsi="Cambria" w:cs="Cambria"/>
          <w:color w:val="auto"/>
        </w:rPr>
        <w:t>such as water point development, rotational grazing fences, or supplemental feed zones</w:t>
      </w:r>
      <w:r>
        <w:rPr>
          <w:rFonts w:hint="default" w:ascii="Cambria" w:hAnsi="Cambria" w:cs="Cambria"/>
          <w:color w:val="auto"/>
          <w:lang w:val="en-GB"/>
        </w:rPr>
        <w:t xml:space="preserve"> </w:t>
      </w:r>
      <w:r>
        <w:rPr>
          <w:rFonts w:hint="default" w:ascii="Cambria" w:hAnsi="Cambria" w:cs="Cambria"/>
          <w:color w:val="auto"/>
        </w:rPr>
        <w:t>creating patches of high vigor amid drier areas. Detailed maps (see Attachments) will help identify these hotspots and guide rangeland management.</w:t>
      </w:r>
      <w:r>
        <w:rPr>
          <w:rFonts w:hint="default" w:ascii="Cambria" w:hAnsi="Cambria" w:cs="Cambria"/>
          <w:color w:val="auto"/>
        </w:rPr>
        <w:br w:type="textWrapping"/>
      </w:r>
      <w:r>
        <w:rPr>
          <w:rFonts w:hint="default" w:ascii="Cambria" w:hAnsi="Cambria" w:cs="Cambria"/>
          <w:color w:val="auto"/>
        </w:rPr>
        <w:t>Overall, the metrics demonstrate that 2023 hydrological conditions favored vegetation recovery and moisture retention in the Mount Kenya rangelands, with implications for herd health, biodiversity, and sustainable grazing.</w:t>
      </w:r>
    </w:p>
    <w:p w14:paraId="7894DC5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6B387018">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73E59B6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3A8F9300">
      <w:pPr>
        <w:pStyle w:val="2"/>
        <w:pageBreakBefore w:val="0"/>
        <w:widowControl/>
        <w:kinsoku/>
        <w:wordWrap/>
        <w:overflowPunct/>
        <w:topLinePunct w:val="0"/>
        <w:autoSpaceDE/>
        <w:autoSpaceDN/>
        <w:bidi w:val="0"/>
        <w:adjustRightInd/>
        <w:snapToGrid/>
        <w:spacing w:before="0" w:after="0" w:line="480" w:lineRule="auto"/>
        <w:textAlignment w:val="auto"/>
        <w:rPr>
          <w:rFonts w:hint="default" w:ascii="Cambria" w:hAnsi="Cambria" w:cs="Cambria"/>
          <w:color w:val="auto"/>
          <w:sz w:val="24"/>
          <w:szCs w:val="24"/>
        </w:rPr>
      </w:pPr>
      <w:r>
        <w:rPr>
          <w:rFonts w:hint="default" w:ascii="Cambria" w:hAnsi="Cambria" w:cs="Cambria"/>
          <w:color w:val="auto"/>
          <w:sz w:val="24"/>
          <w:szCs w:val="24"/>
        </w:rPr>
        <w:t>6. Attachments</w:t>
      </w:r>
    </w:p>
    <w:p w14:paraId="0F4C7540">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 xml:space="preserve">-Monthly EVI, NDMI, and MSAVI time-series plots. </w:t>
      </w:r>
    </w:p>
    <w:p w14:paraId="3B1135B7">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p>
    <w:p w14:paraId="4D2FE4D3">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drawing>
          <wp:inline distT="0" distB="0" distL="114300" distR="114300">
            <wp:extent cx="5486400" cy="2194560"/>
            <wp:effectExtent l="0" t="0" r="0" b="0"/>
            <wp:docPr id="3" name="Picture 3" descr="timeseries_E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series_EVI"/>
                    <pic:cNvPicPr>
                      <a:picLocks noChangeAspect="1"/>
                    </pic:cNvPicPr>
                  </pic:nvPicPr>
                  <pic:blipFill>
                    <a:blip r:embed="rId6"/>
                    <a:stretch>
                      <a:fillRect/>
                    </a:stretch>
                  </pic:blipFill>
                  <pic:spPr>
                    <a:xfrm>
                      <a:off x="0" y="0"/>
                      <a:ext cx="5486400" cy="2194560"/>
                    </a:xfrm>
                    <a:prstGeom prst="rect">
                      <a:avLst/>
                    </a:prstGeom>
                  </pic:spPr>
                </pic:pic>
              </a:graphicData>
            </a:graphic>
          </wp:inline>
        </w:drawing>
      </w:r>
      <w:r>
        <w:rPr>
          <w:rFonts w:hint="default" w:ascii="Cambria" w:hAnsi="Cambria" w:cs="Cambria"/>
          <w:color w:val="auto"/>
        </w:rPr>
        <w:drawing>
          <wp:inline distT="0" distB="0" distL="114300" distR="114300">
            <wp:extent cx="5486400" cy="2194560"/>
            <wp:effectExtent l="0" t="0" r="0" b="0"/>
            <wp:docPr id="2" name="Picture 2" descr="timeseries_MSA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series_MSAVI"/>
                    <pic:cNvPicPr>
                      <a:picLocks noChangeAspect="1"/>
                    </pic:cNvPicPr>
                  </pic:nvPicPr>
                  <pic:blipFill>
                    <a:blip r:embed="rId7"/>
                    <a:stretch>
                      <a:fillRect/>
                    </a:stretch>
                  </pic:blipFill>
                  <pic:spPr>
                    <a:xfrm>
                      <a:off x="0" y="0"/>
                      <a:ext cx="5486400" cy="2194560"/>
                    </a:xfrm>
                    <a:prstGeom prst="rect">
                      <a:avLst/>
                    </a:prstGeom>
                  </pic:spPr>
                </pic:pic>
              </a:graphicData>
            </a:graphic>
          </wp:inline>
        </w:drawing>
      </w:r>
      <w:r>
        <w:rPr>
          <w:rFonts w:hint="default" w:ascii="Cambria" w:hAnsi="Cambria" w:cs="Cambria"/>
          <w:color w:val="auto"/>
        </w:rPr>
        <w:drawing>
          <wp:inline distT="0" distB="0" distL="114300" distR="114300">
            <wp:extent cx="5486400" cy="2194560"/>
            <wp:effectExtent l="0" t="0" r="0" b="0"/>
            <wp:docPr id="1" name="Picture 1" descr="timeseries_ND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series_NDMI"/>
                    <pic:cNvPicPr>
                      <a:picLocks noChangeAspect="1"/>
                    </pic:cNvPicPr>
                  </pic:nvPicPr>
                  <pic:blipFill>
                    <a:blip r:embed="rId8"/>
                    <a:stretch>
                      <a:fillRect/>
                    </a:stretch>
                  </pic:blipFill>
                  <pic:spPr>
                    <a:xfrm>
                      <a:off x="0" y="0"/>
                      <a:ext cx="5486400" cy="2194560"/>
                    </a:xfrm>
                    <a:prstGeom prst="rect">
                      <a:avLst/>
                    </a:prstGeom>
                  </pic:spPr>
                </pic:pic>
              </a:graphicData>
            </a:graphic>
          </wp:inline>
        </w:drawing>
      </w:r>
      <w:r>
        <w:rPr>
          <w:rFonts w:hint="default" w:ascii="Cambria" w:hAnsi="Cambria" w:cs="Cambria"/>
          <w:color w:val="auto"/>
        </w:rPr>
        <w:br w:type="textWrapping"/>
      </w:r>
    </w:p>
    <w:p w14:paraId="6C70C6C4">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rPr>
      </w:pPr>
      <w:r>
        <w:rPr>
          <w:rFonts w:hint="default" w:ascii="Cambria" w:hAnsi="Cambria" w:cs="Cambria"/>
          <w:color w:val="auto"/>
        </w:rPr>
        <w:t>- Composite index maps for March 2022 vs. March 2023.</w:t>
      </w:r>
    </w:p>
    <w:p w14:paraId="67B41D9C">
      <w:pPr>
        <w:pageBreakBefore w:val="0"/>
        <w:widowControl/>
        <w:kinsoku/>
        <w:wordWrap/>
        <w:overflowPunct/>
        <w:topLinePunct w:val="0"/>
        <w:autoSpaceDE/>
        <w:autoSpaceDN/>
        <w:bidi w:val="0"/>
        <w:adjustRightInd/>
        <w:snapToGrid/>
        <w:spacing w:after="0" w:line="480" w:lineRule="auto"/>
        <w:textAlignment w:val="auto"/>
        <w:rPr>
          <w:rFonts w:hint="default" w:ascii="Cambria" w:hAnsi="Cambria" w:cs="Cambria"/>
          <w:color w:val="auto"/>
          <w:lang w:val="en-GB"/>
        </w:rPr>
      </w:pPr>
      <w:r>
        <w:rPr>
          <w:rFonts w:hint="default" w:ascii="Cambria" w:hAnsi="Cambria" w:cs="Cambria"/>
          <w:color w:val="auto"/>
        </w:rPr>
        <w:drawing>
          <wp:inline distT="0" distB="0" distL="114300" distR="114300">
            <wp:extent cx="5480685" cy="3044825"/>
            <wp:effectExtent l="0" t="0" r="5715" b="3175"/>
            <wp:docPr id="4" name="Picture 4" descr="phenology_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enology_subplots"/>
                    <pic:cNvPicPr>
                      <a:picLocks noChangeAspect="1"/>
                    </pic:cNvPicPr>
                  </pic:nvPicPr>
                  <pic:blipFill>
                    <a:blip r:embed="rId9"/>
                    <a:stretch>
                      <a:fillRect/>
                    </a:stretch>
                  </pic:blipFill>
                  <pic:spPr>
                    <a:xfrm>
                      <a:off x="0" y="0"/>
                      <a:ext cx="5480685" cy="3044825"/>
                    </a:xfrm>
                    <a:prstGeom prst="rect">
                      <a:avLst/>
                    </a:prstGeom>
                  </pic:spPr>
                </pic:pic>
              </a:graphicData>
            </a:graphic>
          </wp:inline>
        </w:drawing>
      </w:r>
      <w:r>
        <w:rPr>
          <w:rFonts w:hint="default" w:ascii="Cambria" w:hAnsi="Cambria" w:cs="Cambria"/>
          <w:color w:val="auto"/>
        </w:rPr>
        <w:br w:type="textWrapping"/>
      </w:r>
      <w:r>
        <w:rPr>
          <w:rFonts w:hint="default" w:ascii="Cambria" w:hAnsi="Cambria" w:cs="Cambria"/>
          <w:color w:val="auto"/>
        </w:rPr>
        <w:t xml:space="preserve">- </w:t>
      </w:r>
      <w:r>
        <w:rPr>
          <w:rFonts w:hint="default" w:ascii="Cambria" w:hAnsi="Cambria" w:cs="Cambria"/>
          <w:color w:val="auto"/>
          <w:lang w:val="en-GB"/>
        </w:rPr>
        <w:t>EVI Time series with Phenology Markers</w:t>
      </w:r>
    </w:p>
    <w:p w14:paraId="055DC2C4">
      <w:pPr>
        <w:pageBreakBefore w:val="0"/>
        <w:widowControl/>
        <w:kinsoku/>
        <w:wordWrap/>
        <w:overflowPunct/>
        <w:topLinePunct w:val="0"/>
        <w:autoSpaceDE/>
        <w:autoSpaceDN/>
        <w:bidi w:val="0"/>
        <w:adjustRightInd/>
        <w:snapToGrid/>
        <w:spacing w:after="0" w:line="480" w:lineRule="auto"/>
        <w:textAlignment w:val="auto"/>
        <w:rPr>
          <w:rFonts w:hint="default"/>
          <w:lang w:val="en-GB"/>
        </w:rPr>
      </w:pPr>
      <w:r>
        <w:rPr>
          <w:rFonts w:hint="default"/>
          <w:lang w:val="en-GB"/>
        </w:rPr>
        <w:drawing>
          <wp:inline distT="0" distB="0" distL="114300" distR="114300">
            <wp:extent cx="5482590" cy="3112770"/>
            <wp:effectExtent l="0" t="0" r="3810" b="3810"/>
            <wp:docPr id="5" name="Picture 5" descr="evi_phenology_time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vi_phenology_timeseries"/>
                    <pic:cNvPicPr>
                      <a:picLocks noChangeAspect="1"/>
                    </pic:cNvPicPr>
                  </pic:nvPicPr>
                  <pic:blipFill>
                    <a:blip r:embed="rId10"/>
                    <a:stretch>
                      <a:fillRect/>
                    </a:stretch>
                  </pic:blipFill>
                  <pic:spPr>
                    <a:xfrm>
                      <a:off x="0" y="0"/>
                      <a:ext cx="5482590" cy="3112770"/>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Calibri Light">
    <w:panose1 w:val="020F0302020204030204"/>
    <w:charset w:val="00"/>
    <w:family w:val="auto"/>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9B5FE1"/>
    <w:rsid w:val="4D9B5FE1"/>
    <w:rsid w:val="7F002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12</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2025-05-05T21:11:00Z</dcterms:created>
  <dc:creator>krist</dc:creator>
  <cp:lastModifiedBy>krist</cp:lastModifiedBy>
  <dcterms:modified xsi:type="dcterms:W3CDTF">2025-05-05T21:24:04Z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09FB99CC69454A17B3FDB67FDA78CAF3_13</vt:lpwstr>
  </property>
</Properties>
</file>