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
        <w:jc w:val="center"/>
      </w:pPr>
      <w:r>
        <w:rPr>
          <w:rFonts w:ascii="Arial" w:cs="Arial" w:eastAsia="Arial" w:hAnsi="Arial"/>
          <w:b/>
          <w:bCs/>
          <w:color w:val="1B2A4A"/>
          <w:sz w:val="56"/>
          <w:szCs w:val="56"/>
        </w:rPr>
        <w:t xml:space="preserve">30-DAY LINKEDIN</w:t>
      </w:r>
    </w:p>
    <w:p>
      <w:pPr>
        <w:spacing w:after="60"/>
        <w:jc w:val="center"/>
      </w:pPr>
      <w:r>
        <w:rPr>
          <w:rFonts w:ascii="Arial" w:cs="Arial" w:eastAsia="Arial" w:hAnsi="Arial"/>
          <w:b/>
          <w:bCs/>
          <w:color w:val="0A66C2"/>
          <w:sz w:val="56"/>
          <w:szCs w:val="56"/>
        </w:rPr>
        <w:t xml:space="preserve">CONTENT PLAN</w:t>
      </w:r>
    </w:p>
    <w:p>
      <w:pPr>
        <w:pBdr>
          <w:bottom w:val="single" w:color="0A66C2" w:sz="4" w:space="16"/>
        </w:pBdr>
        <w:spacing w:after="400"/>
        <w:jc w:val="center"/>
      </w:pPr>
      <w:r>
        <w:rPr>
          <w:rFonts w:ascii="Arial" w:cs="Arial" w:eastAsia="Arial" w:hAnsi="Arial"/>
          <w:color w:val="555555"/>
          <w:sz w:val="22"/>
          <w:szCs w:val="22"/>
        </w:rPr>
        <w:t xml:space="preserve">3 Pillars • 30 Posts • Hook Formulas • CTAs • Full Calendar</w:t>
      </w:r>
    </w:p>
    <w:p>
      <w:pPr>
        <w:spacing w:before="400"/>
      </w:pPr>
    </w:p>
    <w:p>
      <w:pPr>
        <w:spacing w:after="80"/>
        <w:jc w:val="center"/>
      </w:pPr>
      <w:r>
        <w:rPr>
          <w:rFonts w:ascii="Arial" w:cs="Arial" w:eastAsia="Arial" w:hAnsi="Arial"/>
          <w:b/>
          <w:bCs/>
          <w:color w:val="1B2A4A"/>
          <w:sz w:val="44"/>
          <w:szCs w:val="44"/>
        </w:rPr>
        <w:t xml:space="preserve">Max Małecki</w:t>
      </w:r>
    </w:p>
    <w:p>
      <w:pPr>
        <w:spacing w:after="80"/>
        <w:jc w:val="center"/>
      </w:pPr>
      <w:r>
        <w:rPr>
          <w:rFonts w:ascii="Arial" w:cs="Arial" w:eastAsia="Arial" w:hAnsi="Arial"/>
          <w:color w:val="555555"/>
          <w:sz w:val="22"/>
          <w:szCs w:val="22"/>
        </w:rPr>
        <w:t xml:space="preserve">AI + InsurTech • Tech Lead • Educator</w:t>
      </w:r>
    </w:p>
    <w:p>
      <w:pPr>
        <w:spacing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1565C0"/>
                <w:sz w:val="22"/>
                <w:szCs w:val="22"/>
              </w:rPr>
              <w:t xml:space="preserve">■ </w:t>
            </w:r>
            <w:r>
              <w:rPr>
                <w:rFonts w:ascii="Arial" w:cs="Arial" w:eastAsia="Arial" w:hAnsi="Arial"/>
                <w:color w:val="1565C0"/>
                <w:sz w:val="20"/>
                <w:szCs w:val="20"/>
              </w:rPr>
              <w:t xml:space="preserve">Builder</w:t>
            </w:r>
          </w:p>
        </w:tc>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C62828"/>
                <w:sz w:val="22"/>
                <w:szCs w:val="22"/>
              </w:rPr>
              <w:t xml:space="preserve">■ </w:t>
            </w:r>
            <w:r>
              <w:rPr>
                <w:rFonts w:ascii="Arial" w:cs="Arial" w:eastAsia="Arial" w:hAnsi="Arial"/>
                <w:color w:val="C62828"/>
                <w:sz w:val="20"/>
                <w:szCs w:val="20"/>
              </w:rPr>
              <w:t xml:space="preserve">Trenches</w:t>
            </w:r>
          </w:p>
        </w:tc>
        <w:tc>
          <w:tcPr>
            <w:tcW w:type="dxa" w:w="20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2E7D32"/>
                <w:sz w:val="22"/>
                <w:szCs w:val="22"/>
              </w:rPr>
              <w:t xml:space="preserve">■ </w:t>
            </w:r>
            <w:r>
              <w:rPr>
                <w:rFonts w:ascii="Arial" w:cs="Arial" w:eastAsia="Arial" w:hAnsi="Arial"/>
                <w:color w:val="2E7D32"/>
                <w:sz w:val="20"/>
                <w:szCs w:val="20"/>
              </w:rPr>
              <w:t xml:space="preserve">Educator</w:t>
            </w:r>
          </w:p>
        </w:tc>
      </w:tr>
    </w:tbl>
    <w:p>
      <w:pPr>
        <w:spacing w:before="800"/>
      </w:pPr>
    </w:p>
    <w:p>
      <w:pPr>
        <w:jc w:val="center"/>
      </w:pPr>
      <w:r>
        <w:rPr>
          <w:rFonts w:ascii="Arial" w:cs="Arial" w:eastAsia="Arial" w:hAnsi="Arial"/>
          <w:i/>
          <w:iCs/>
          <w:color w:val="555555"/>
          <w:sz w:val="18"/>
          <w:szCs w:val="18"/>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t xml:space="preserve">Content Strategy Overview</w:t>
      </w:r>
    </w:p>
    <w:p>
      <w:pPr>
        <w:spacing w:after="160" w:before="0"/>
      </w:pPr>
      <w:r>
        <w:rPr>
          <w:rFonts w:ascii="Arial" w:cs="Arial" w:eastAsia="Arial" w:hAnsi="Arial"/>
          <w:color w:val="2C2C2C"/>
          <w:sz w:val="22"/>
          <w:szCs w:val="22"/>
        </w:rPr>
        <w:t xml:space="preserve">This plan is designed to do three things in 30 days: establish your voice, build a content habit, and generate enough signal that LinkedIn’s algorithm starts working for you. The plan follows a 5-post-per-week cadence (weekdays only), with each post mapped to one of three content pillars.</w:t>
      </w:r>
    </w:p>
    <w:p>
      <w:pPr>
        <w:pStyle w:val="Heading2"/>
      </w:pPr>
      <w:r>
        <w:t xml:space="preserve">Publishing Rhythm</w:t>
      </w:r>
    </w:p>
    <w:p>
      <w:pPr>
        <w:spacing w:after="160" w:before="0"/>
      </w:pPr>
      <w:r>
        <w:rPr>
          <w:rFonts w:ascii="Arial" w:cs="Arial" w:eastAsia="Arial" w:hAnsi="Arial"/>
          <w:b/>
          <w:bCs/>
          <w:color w:val="1B2A4A"/>
          <w:sz w:val="22"/>
          <w:szCs w:val="22"/>
        </w:rPr>
        <w:t xml:space="preserve">Frequency: </w:t>
      </w:r>
      <w:r>
        <w:rPr>
          <w:rFonts w:ascii="Arial" w:cs="Arial" w:eastAsia="Arial" w:hAnsi="Arial"/>
          <w:color w:val="2C2C2C"/>
          <w:sz w:val="22"/>
          <w:szCs w:val="22"/>
        </w:rPr>
        <w:t xml:space="preserve">5 posts per week (Monday–Friday). Weekends off. This is ambitious but sustainable for a 30-day sprint. After the sprint, you can drop to 3x/week and maintain momentum.</w:t>
      </w:r>
    </w:p>
    <w:p>
      <w:pPr>
        <w:spacing w:after="160" w:before="0"/>
      </w:pPr>
      <w:r>
        <w:rPr>
          <w:rFonts w:ascii="Arial" w:cs="Arial" w:eastAsia="Arial" w:hAnsi="Arial"/>
          <w:b/>
          <w:bCs/>
          <w:color w:val="1B2A4A"/>
          <w:sz w:val="22"/>
          <w:szCs w:val="22"/>
        </w:rPr>
        <w:t xml:space="preserve">Best posting time: </w:t>
      </w:r>
      <w:r>
        <w:rPr>
          <w:rFonts w:ascii="Arial" w:cs="Arial" w:eastAsia="Arial" w:hAnsi="Arial"/>
          <w:color w:val="2C2C2C"/>
          <w:sz w:val="22"/>
          <w:szCs w:val="22"/>
        </w:rPr>
        <w:t xml:space="preserve">Tuesday–Thursday 7:30–8:30 AM CET for maximum European reach. Monday and Friday posts can go out 8–9 AM. Engage with comments within the first 60 minutes — this is when LinkedIn decides whether to boost your post.</w:t>
      </w:r>
    </w:p>
    <w:p>
      <w:pPr>
        <w:spacing w:after="160" w:before="0"/>
      </w:pPr>
      <w:r>
        <w:rPr>
          <w:rFonts w:ascii="Arial" w:cs="Arial" w:eastAsia="Arial" w:hAnsi="Arial"/>
          <w:b/>
          <w:bCs/>
          <w:color w:val="1B2A4A"/>
          <w:sz w:val="22"/>
          <w:szCs w:val="22"/>
        </w:rPr>
        <w:t xml:space="preserve">Language mix: </w:t>
      </w:r>
      <w:r>
        <w:rPr>
          <w:rFonts w:ascii="Arial" w:cs="Arial" w:eastAsia="Arial" w:hAnsi="Arial"/>
          <w:color w:val="2C2C2C"/>
          <w:sz w:val="22"/>
          <w:szCs w:val="22"/>
        </w:rPr>
        <w:t xml:space="preserve">~70% English, ~30% Polish. English posts build international authority and reach. Polish posts lock in your local community. The calendar marks Polish posts with 🇵🇱.</w:t>
      </w:r>
    </w:p>
    <w:p>
      <w:pPr>
        <w:pBdr>
          <w:bottom w:val="single" w:color="2E75B6" w:sz="2" w:space="8"/>
        </w:pBdr>
        <w:spacing w:after="260" w:before="260"/>
      </w:pPr>
    </w:p>
    <w:p>
      <w:pPr>
        <w:pStyle w:val="Heading1"/>
      </w:pPr>
      <w:r>
        <w:t xml:space="preserve">The Three Content Pillars</w:t>
      </w:r>
    </w:p>
    <w:p>
      <w:pPr>
        <w:spacing w:after="160" w:before="0"/>
      </w:pPr>
      <w:r>
        <w:rPr>
          <w:rFonts w:ascii="Arial" w:cs="Arial" w:eastAsia="Arial" w:hAnsi="Arial"/>
          <w:color w:val="2C2C2C"/>
          <w:sz w:val="22"/>
          <w:szCs w:val="22"/>
        </w:rPr>
        <w:t xml:space="preserve">Every post you publish should fall into one of these three categories. This creates a recognizable pattern for your followers: they know what to expect from you, and LinkedIn’s algorithm learns what topics you’re authoritative 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8"/>
              <w:bottom w:val="single" w:color="1565C0" w:sz="2"/>
              <w:right w:val="single" w:color="1565C0" w:sz="2"/>
            </w:tcBorders>
            <w:shd w:fill="E3F2FD" w:val="clear"/>
            <w:tcMar>
              <w:top w:type="dxa" w:w="180"/>
              <w:left w:type="dxa" w:w="260"/>
              <w:bottom w:type="dxa" w:w="180"/>
              <w:right w:type="dxa" w:w="260"/>
            </w:tcMar>
          </w:tcPr>
          <w:p>
            <w:pPr>
              <w:spacing w:after="120"/>
            </w:pPr>
            <w:r>
              <w:rPr>
                <w:rFonts w:ascii="Arial" w:cs="Arial" w:eastAsia="Arial" w:hAnsi="Arial"/>
                <w:b/>
                <w:bCs/>
                <w:color w:val="1565C0"/>
                <w:sz w:val="24"/>
                <w:szCs w:val="24"/>
              </w:rPr>
              <w:t xml:space="preserve">PILLAR 1: THE BUILDER</w:t>
            </w:r>
            <w:r>
              <w:rPr>
                <w:rFonts w:ascii="Arial" w:cs="Arial" w:eastAsia="Arial" w:hAnsi="Arial"/>
                <w:color w:val="555555"/>
                <w:sz w:val="20"/>
                <w:szCs w:val="20"/>
              </w:rPr>
              <w:t xml:space="preserve">  (~40% of posts)</w:t>
            </w:r>
          </w:p>
          <w:p>
            <w:pPr>
              <w:spacing w:after="120"/>
            </w:pPr>
            <w:r>
              <w:rPr>
                <w:rFonts w:ascii="Arial" w:cs="Arial" w:eastAsia="Arial" w:hAnsi="Arial"/>
                <w:i/>
                <w:iCs/>
                <w:color w:val="1565C0"/>
                <w:sz w:val="22"/>
                <w:szCs w:val="22"/>
              </w:rPr>
              <w:t xml:space="preserve">"What I’m building and how I’m building it"</w:t>
            </w:r>
          </w:p>
          <w:p>
            <w:pPr>
              <w:spacing w:after="120"/>
            </w:pPr>
            <w:r>
              <w:rPr>
                <w:rFonts w:ascii="Arial" w:cs="Arial" w:eastAsia="Arial" w:hAnsi="Arial"/>
                <w:sz w:val="8"/>
                <w:szCs w:val="8"/>
              </w:rPr>
              <w:t xml:space="preserve"/>
            </w:r>
          </w:p>
          <w:p>
            <w:pPr>
              <w:spacing w:after="120"/>
            </w:pPr>
            <w:r>
              <w:rPr>
                <w:rFonts w:ascii="Arial" w:cs="Arial" w:eastAsia="Arial" w:hAnsi="Arial"/>
                <w:color w:val="2C2C2C"/>
                <w:sz w:val="22"/>
                <w:szCs w:val="22"/>
              </w:rPr>
              <w:t xml:space="preserve">Technical posts about your actual work: RAG implementations, AWS Bedrock decisions, database optimizations, InslyPay architecture, system design choices. These posts prove you’re a practitioner. They attract engineering teams, CTOs, and technical recruiters. Show the work. Share code snippets, architecture diagrams, before/after metrics. This is your credibility engine.</w:t>
            </w:r>
          </w:p>
          <w:p>
            <w:pPr>
              <w:spacing w:after="120"/>
            </w:pPr>
            <w:r>
              <w:rPr>
                <w:rFonts w:ascii="Arial" w:cs="Arial" w:eastAsia="Arial" w:hAnsi="Arial"/>
                <w:sz w:val="8"/>
                <w:szCs w:val="8"/>
              </w:rPr>
              <w:t xml:space="preserve"/>
            </w:r>
          </w:p>
          <w:p>
            <w:pPr>
              <w:spacing w:after="120"/>
            </w:pPr>
            <w:r>
              <w:rPr>
                <w:rFonts w:ascii="Arial" w:cs="Arial" w:eastAsia="Arial" w:hAnsi="Arial"/>
                <w:b/>
                <w:bCs/>
                <w:color w:val="1565C0"/>
                <w:sz w:val="20"/>
                <w:szCs w:val="20"/>
              </w:rPr>
              <w:t xml:space="preserve">Formats: </w:t>
            </w:r>
            <w:r>
              <w:rPr>
                <w:rFonts w:ascii="Arial" w:cs="Arial" w:eastAsia="Arial" w:hAnsi="Arial"/>
                <w:color w:val="555555"/>
                <w:sz w:val="20"/>
                <w:szCs w:val="20"/>
              </w:rPr>
              <w:t xml:space="preserve">Technical breakdowns, "How we built X" stories, architecture decision records, tool comparisons, code lessons learned</w:t>
            </w:r>
          </w:p>
          <w:p>
            <w:pPr>
              <w:spacing w:after="0"/>
            </w:pPr>
            <w:r>
              <w:rPr>
                <w:rFonts w:ascii="Arial" w:cs="Arial" w:eastAsia="Arial" w:hAnsi="Arial"/>
                <w:b/>
                <w:bCs/>
                <w:color w:val="1565C0"/>
                <w:sz w:val="20"/>
                <w:szCs w:val="20"/>
              </w:rPr>
              <w:t xml:space="preserve">Target audience: </w:t>
            </w:r>
            <w:r>
              <w:rPr>
                <w:rFonts w:ascii="Arial" w:cs="Arial" w:eastAsia="Arial" w:hAnsi="Arial"/>
                <w:color w:val="555555"/>
                <w:sz w:val="20"/>
                <w:szCs w:val="20"/>
              </w:rPr>
              <w:t xml:space="preserve">Engineers, tech leads, CTOs, InsurTech professionals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8"/>
              <w:bottom w:val="single" w:color="C62828" w:sz="2"/>
              <w:right w:val="single" w:color="C62828" w:sz="2"/>
            </w:tcBorders>
            <w:shd w:fill="FFEBEE" w:val="clear"/>
            <w:tcMar>
              <w:top w:type="dxa" w:w="180"/>
              <w:left w:type="dxa" w:w="260"/>
              <w:bottom w:type="dxa" w:w="180"/>
              <w:right w:type="dxa" w:w="260"/>
            </w:tcMar>
          </w:tcPr>
          <w:p>
            <w:pPr>
              <w:spacing w:after="120"/>
            </w:pPr>
            <w:r>
              <w:rPr>
                <w:rFonts w:ascii="Arial" w:cs="Arial" w:eastAsia="Arial" w:hAnsi="Arial"/>
                <w:b/>
                <w:bCs/>
                <w:color w:val="C62828"/>
                <w:sz w:val="24"/>
                <w:szCs w:val="24"/>
              </w:rPr>
              <w:t xml:space="preserve">PILLAR 2: FROM THE TRENCHES</w:t>
            </w:r>
            <w:r>
              <w:rPr>
                <w:rFonts w:ascii="Arial" w:cs="Arial" w:eastAsia="Arial" w:hAnsi="Arial"/>
                <w:color w:val="555555"/>
                <w:sz w:val="20"/>
                <w:szCs w:val="20"/>
              </w:rPr>
              <w:t xml:space="preserve">  (~35% of posts)</w:t>
            </w:r>
          </w:p>
          <w:p>
            <w:pPr>
              <w:spacing w:after="120"/>
            </w:pPr>
            <w:r>
              <w:rPr>
                <w:rFonts w:ascii="Arial" w:cs="Arial" w:eastAsia="Arial" w:hAnsi="Arial"/>
                <w:i/>
                <w:iCs/>
                <w:color w:val="C62828"/>
                <w:sz w:val="22"/>
                <w:szCs w:val="22"/>
              </w:rPr>
              <w:t xml:space="preserve">"Honest lessons from 20 years of shipping software"</w:t>
            </w:r>
          </w:p>
          <w:p>
            <w:pPr>
              <w:spacing w:after="120"/>
            </w:pPr>
            <w:r>
              <w:rPr>
                <w:rFonts w:ascii="Arial" w:cs="Arial" w:eastAsia="Arial" w:hAnsi="Arial"/>
                <w:sz w:val="8"/>
                <w:szCs w:val="8"/>
              </w:rPr>
              <w:t xml:space="preserve"/>
            </w:r>
          </w:p>
          <w:p>
            <w:pPr>
              <w:spacing w:after="120"/>
            </w:pPr>
            <w:r>
              <w:rPr>
                <w:rFonts w:ascii="Arial" w:cs="Arial" w:eastAsia="Arial" w:hAnsi="Arial"/>
                <w:color w:val="2C2C2C"/>
                <w:sz w:val="22"/>
                <w:szCs w:val="22"/>
              </w:rPr>
              <w:t xml:space="preserve">Opinion-driven posts about engineering leadership, team management, career transitions, AI hype vs. reality, and the human side of building software. These are your high-engagement posts — they generate comments, debate, and reshares. They show personality and build the emotional connection that pure technical posts can’t. Your 20 years of experience is the source material here.</w:t>
            </w:r>
          </w:p>
          <w:p>
            <w:pPr>
              <w:spacing w:after="120"/>
            </w:pPr>
            <w:r>
              <w:rPr>
                <w:rFonts w:ascii="Arial" w:cs="Arial" w:eastAsia="Arial" w:hAnsi="Arial"/>
                <w:sz w:val="8"/>
                <w:szCs w:val="8"/>
              </w:rPr>
              <w:t xml:space="preserve"/>
            </w:r>
          </w:p>
          <w:p>
            <w:pPr>
              <w:spacing w:after="120"/>
            </w:pPr>
            <w:r>
              <w:rPr>
                <w:rFonts w:ascii="Arial" w:cs="Arial" w:eastAsia="Arial" w:hAnsi="Arial"/>
                <w:b/>
                <w:bCs/>
                <w:color w:val="C62828"/>
                <w:sz w:val="20"/>
                <w:szCs w:val="20"/>
              </w:rPr>
              <w:t xml:space="preserve">Formats: </w:t>
            </w:r>
            <w:r>
              <w:rPr>
                <w:rFonts w:ascii="Arial" w:cs="Arial" w:eastAsia="Arial" w:hAnsi="Arial"/>
                <w:color w:val="555555"/>
                <w:sz w:val="20"/>
                <w:szCs w:val="20"/>
              </w:rPr>
              <w:t xml:space="preserve">Hot takes, career stories, leadership lessons, failure post-mortems, contrarian opinions, "unpopular opinion" threads</w:t>
            </w:r>
          </w:p>
          <w:p>
            <w:pPr>
              <w:spacing w:after="0"/>
            </w:pPr>
            <w:r>
              <w:rPr>
                <w:rFonts w:ascii="Arial" w:cs="Arial" w:eastAsia="Arial" w:hAnsi="Arial"/>
                <w:b/>
                <w:bCs/>
                <w:color w:val="C62828"/>
                <w:sz w:val="20"/>
                <w:szCs w:val="20"/>
              </w:rPr>
              <w:t xml:space="preserve">Target audience: </w:t>
            </w:r>
            <w:r>
              <w:rPr>
                <w:rFonts w:ascii="Arial" w:cs="Arial" w:eastAsia="Arial" w:hAnsi="Arial"/>
                <w:color w:val="555555"/>
                <w:sz w:val="20"/>
                <w:szCs w:val="20"/>
              </w:rPr>
              <w:t xml:space="preserve">Engineering leaders, developers at career crossroads, anyone in tech wrestling with AI transformation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8"/>
              <w:bottom w:val="single" w:color="2E7D32" w:sz="2"/>
              <w:right w:val="single" w:color="2E7D32" w:sz="2"/>
            </w:tcBorders>
            <w:shd w:fill="E8F5E9" w:val="clear"/>
            <w:tcMar>
              <w:top w:type="dxa" w:w="180"/>
              <w:left w:type="dxa" w:w="260"/>
              <w:bottom w:type="dxa" w:w="180"/>
              <w:right w:type="dxa" w:w="260"/>
            </w:tcMar>
          </w:tcPr>
          <w:p>
            <w:pPr>
              <w:spacing w:after="120"/>
            </w:pPr>
            <w:r>
              <w:rPr>
                <w:rFonts w:ascii="Arial" w:cs="Arial" w:eastAsia="Arial" w:hAnsi="Arial"/>
                <w:b/>
                <w:bCs/>
                <w:color w:val="2E7D32"/>
                <w:sz w:val="24"/>
                <w:szCs w:val="24"/>
              </w:rPr>
              <w:t xml:space="preserve">PILLAR 3: THE EDUCATOR</w:t>
            </w:r>
            <w:r>
              <w:rPr>
                <w:rFonts w:ascii="Arial" w:cs="Arial" w:eastAsia="Arial" w:hAnsi="Arial"/>
                <w:color w:val="555555"/>
                <w:sz w:val="20"/>
                <w:szCs w:val="20"/>
              </w:rPr>
              <w:t xml:space="preserve">  (~25% of posts)</w:t>
            </w:r>
          </w:p>
          <w:p>
            <w:pPr>
              <w:spacing w:after="120"/>
            </w:pPr>
            <w:r>
              <w:rPr>
                <w:rFonts w:ascii="Arial" w:cs="Arial" w:eastAsia="Arial" w:hAnsi="Arial"/>
                <w:i/>
                <w:iCs/>
                <w:color w:val="2E7D32"/>
                <w:sz w:val="22"/>
                <w:szCs w:val="22"/>
              </w:rPr>
              <w:t xml:space="preserve">"Teaching what I know so you can ship faster"</w:t>
            </w:r>
          </w:p>
          <w:p>
            <w:pPr>
              <w:spacing w:after="120"/>
            </w:pPr>
            <w:r>
              <w:rPr>
                <w:rFonts w:ascii="Arial" w:cs="Arial" w:eastAsia="Arial" w:hAnsi="Arial"/>
                <w:sz w:val="8"/>
                <w:szCs w:val="8"/>
              </w:rPr>
              <w:t xml:space="preserve"/>
            </w:r>
          </w:p>
          <w:p>
            <w:pPr>
              <w:spacing w:after="120"/>
            </w:pPr>
            <w:r>
              <w:rPr>
                <w:rFonts w:ascii="Arial" w:cs="Arial" w:eastAsia="Arial" w:hAnsi="Arial"/>
                <w:color w:val="2C2C2C"/>
                <w:sz w:val="22"/>
                <w:szCs w:val="22"/>
              </w:rPr>
              <w:t xml:space="preserve">Instructional and educational content: tutorials, frameworks, checklists, curated resources, course previews, explainers. These posts position you as the go-to teacher for AI adoption in engineering teams. They’re the highest-value content for your course business — every educational post is a soft pitch for your paid courses. They also tend to get saved and shared, which extends reach.</w:t>
            </w:r>
          </w:p>
          <w:p>
            <w:pPr>
              <w:spacing w:after="120"/>
            </w:pPr>
            <w:r>
              <w:rPr>
                <w:rFonts w:ascii="Arial" w:cs="Arial" w:eastAsia="Arial" w:hAnsi="Arial"/>
                <w:sz w:val="8"/>
                <w:szCs w:val="8"/>
              </w:rPr>
              <w:t xml:space="preserve"/>
            </w:r>
          </w:p>
          <w:p>
            <w:pPr>
              <w:spacing w:after="120"/>
            </w:pPr>
            <w:r>
              <w:rPr>
                <w:rFonts w:ascii="Arial" w:cs="Arial" w:eastAsia="Arial" w:hAnsi="Arial"/>
                <w:b/>
                <w:bCs/>
                <w:color w:val="2E7D32"/>
                <w:sz w:val="20"/>
                <w:szCs w:val="20"/>
              </w:rPr>
              <w:t xml:space="preserve">Formats: </w:t>
            </w:r>
            <w:r>
              <w:rPr>
                <w:rFonts w:ascii="Arial" w:cs="Arial" w:eastAsia="Arial" w:hAnsi="Arial"/>
                <w:color w:val="555555"/>
                <w:sz w:val="20"/>
                <w:szCs w:val="20"/>
              </w:rPr>
              <w:t xml:space="preserve">How-to guides, checklists, "X things I wish I knew," resource lists, mini-tutorials, conference talk previews, course teasers</w:t>
            </w:r>
          </w:p>
          <w:p>
            <w:pPr>
              <w:spacing w:after="0"/>
            </w:pPr>
            <w:r>
              <w:rPr>
                <w:rFonts w:ascii="Arial" w:cs="Arial" w:eastAsia="Arial" w:hAnsi="Arial"/>
                <w:b/>
                <w:bCs/>
                <w:color w:val="2E7D32"/>
                <w:sz w:val="20"/>
                <w:szCs w:val="20"/>
              </w:rPr>
              <w:t xml:space="preserve">Target audience: </w:t>
            </w:r>
            <w:r>
              <w:rPr>
                <w:rFonts w:ascii="Arial" w:cs="Arial" w:eastAsia="Arial" w:hAnsi="Arial"/>
                <w:color w:val="555555"/>
                <w:sz w:val="20"/>
                <w:szCs w:val="20"/>
              </w:rPr>
              <w:t xml:space="preserve">Developers learning AI, team leads implementing AI workflows, executives evaluating AI strategy</w:t>
            </w:r>
          </w:p>
        </w:tc>
      </w:tr>
    </w:tbl>
    <w:p>
      <w:pPr>
        <w:pBdr>
          <w:bottom w:val="single" w:color="2E75B6" w:sz="2" w:space="8"/>
        </w:pBdr>
        <w:spacing w:after="260" w:before="260"/>
      </w:pPr>
    </w:p>
    <w:p>
      <w:pPr>
        <w:pStyle w:val="Heading1"/>
      </w:pPr>
      <w:r>
        <w:t xml:space="preserve">Hook Formulas</w:t>
      </w:r>
    </w:p>
    <w:p>
      <w:pPr>
        <w:spacing w:after="160" w:before="0"/>
      </w:pPr>
      <w:r>
        <w:rPr>
          <w:rFonts w:ascii="Arial" w:cs="Arial" w:eastAsia="Arial" w:hAnsi="Arial"/>
          <w:color w:val="2C2C2C"/>
          <w:sz w:val="22"/>
          <w:szCs w:val="22"/>
        </w:rPr>
        <w:t xml:space="preserve">The first 2 lines of your LinkedIn post determine whether anyone reads the rest. LinkedIn shows only ~210 characters before the "See more" button. Every post must open with a hook that stops the scroll. Here are 12 formulas, each with a Max-specific example you can adapt: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33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Template</w:t>
            </w:r>
          </w:p>
        </w:tc>
        <w:tc>
          <w:tcPr>
            <w:tcW w:type="dxa" w:w="33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Your Example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Contrarian</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Most people think [X]. They’re wrong.</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Most people think AI will replace developers. After building 3 RAG systems, I think the opposite.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Number</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[Specific number] that changed how I think about [topic].</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150,000 users. 1 SSO integration. 0 downtime. Here’s what nobody tells you about enterprise auth.</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Confession</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I was wrong about [X]. Here’s what changed my mind.</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I was wrong about vibecoding. I spent 6 months dismissing it. Then I tried it on a real project.</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List Tease</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I’ve spent [time] doing [X]. Here are [N] things I learned.</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I’ve spent 20 years shipping production software. Here are 5 things AI won’t change about that.</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Before/After</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Before: [old state]. After: [new state]. What happened in between.</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Before: 3 weeks to prototype a feature. After: 3 days. What happened: we added RAG to our workflow.</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Observation</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Nobody is talking about [X]. And it’s a problem.</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Nobody is talking about AI compliance in European insurance. And it’s about to become everyone’s problem.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Story Open</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Last [time period], something happened that I can’t stop thinking about.</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Last Tuesday, one of my engineers asked me: “Should I learn AI or will it replace me?” Here’s what I told them.</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Question</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What would you do if [scenario]?</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What would you do if your CEO told you to “add AI” to your product — but gave you no budget, no data, and no timeline?</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Myth Buster</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The biggest myth about [X] is [Y].</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The biggest myth about RAG is that it’s just search + LLM. It’s not. Here’s why.</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Framework</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I use a simple [N]-step framework for [task]. It saves me [benefit].</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I use a 3-question framework before starting any AI project. It’s saved me months of wasted work.</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Comparison</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[X] vs [Y] — and why most people choose wrong.</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LightRAG vs AWS Bedrock Knowledge Bases — I’ve built with both. Here’s when to use each.</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19"/>
                <w:szCs w:val="19"/>
              </w:rPr>
              <w:t xml:space="preserve">The Polish Hook 🇵🇱</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555555"/>
                <w:sz w:val="19"/>
                <w:szCs w:val="19"/>
              </w:rPr>
              <w:t xml:space="preserve">W Polsce nikt o tym nie mówi, a powinien.</w:t>
            </w:r>
          </w:p>
        </w:tc>
        <w:tc>
          <w:tcPr>
            <w:tcW w:type="dxa" w:w="33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color w:val="2C2C2C"/>
                <w:sz w:val="19"/>
                <w:szCs w:val="19"/>
              </w:rPr>
              <w:t xml:space="preserve">W Polsce nikt nie mówi o AI w ubezpieczeniach. A to właśnie tu będzie rewolucja.</w:t>
            </w:r>
          </w:p>
        </w:tc>
      </w:tr>
    </w:tbl>
    <w:p>
      <w:pPr>
        <w:pBdr>
          <w:bottom w:val="single" w:color="2E75B6" w:sz="2" w:space="8"/>
        </w:pBdr>
        <w:spacing w:after="260" w:before="260"/>
      </w:pPr>
    </w:p>
    <w:p>
      <w:pPr>
        <w:pStyle w:val="Heading1"/>
      </w:pPr>
      <w:r>
        <w:t xml:space="preserve">CTA Templates</w:t>
      </w:r>
    </w:p>
    <w:p>
      <w:pPr>
        <w:spacing w:after="160" w:before="0"/>
      </w:pPr>
      <w:r>
        <w:rPr>
          <w:rFonts w:ascii="Arial" w:cs="Arial" w:eastAsia="Arial" w:hAnsi="Arial"/>
          <w:color w:val="2C2C2C"/>
          <w:sz w:val="22"/>
          <w:szCs w:val="22"/>
        </w:rPr>
        <w:t xml:space="preserve">Every post needs a call-to-action. But the same CTA every time kills engagement. Rotate between these categories to keep things fresh:</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CTA Type</w:t>
            </w:r>
          </w:p>
        </w:tc>
        <w:tc>
          <w:tcPr>
            <w:tcW w:type="dxa" w:w="35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c>
          <w:tcPr>
            <w:tcW w:type="dxa" w:w="35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 Phrasing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Engagement</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Opinion posts, hot takes, contrarian views</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"What’s your experience with RAG in production? Drop it in the comments — I read every one."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Save / Bookmark</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Frameworks, checklists, how-to posts</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"Save this for your next AI project kickoff. You’ll need it."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Share / Repost</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Broadly relatable career or leadership posts</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"Repost this if your team is also figuring out AI adoption in real time."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Follow</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High-value educational posts</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"I write about building AI in regulated industries. Follow for the next one."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Connect</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Personal story or vulnerability posts</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"If you’re leading an engineering team through AI transformation, send me a connect. I want to hear your story."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Course Tease</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Educational posts, previews, teasers (use sparingly: 1x/week max)</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"I’m building a course on exactly this. DM me ‘AI’ if you want early access."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Comment Prompt</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Any post — great for algorithm boost</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"Hot take or common sense? Tell me in the comments."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5B6"/>
                <w:sz w:val="19"/>
                <w:szCs w:val="19"/>
              </w:rPr>
              <w:t xml:space="preserve">Polish Specific 🇵🇱</w:t>
            </w:r>
          </w:p>
        </w:tc>
        <w:tc>
          <w:tcPr>
            <w:tcW w:type="dxa" w:w="35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9"/>
                <w:szCs w:val="19"/>
              </w:rPr>
              <w:t xml:space="preserve">Polish-language posts</w:t>
            </w:r>
          </w:p>
        </w:tc>
        <w:tc>
          <w:tcPr>
            <w:tcW w:type="dxa" w:w="3580"/>
            <w:tcBorders>
              <w:top w:val="single" w:color="D0D0D0" w:sz="1"/>
              <w:left w:val="single" w:color="D0D0D0" w:sz="1"/>
              <w:bottom w:val="single" w:color="D0D0D0" w:sz="1"/>
              <w:right w:val="single" w:color="D0D0D0" w:sz="1"/>
            </w:tcBorders>
            <w:shd w:fill="EDF3F8" w:val="clear"/>
            <w:tcMar>
              <w:top w:type="dxa" w:w="80"/>
              <w:left w:type="dxa" w:w="120"/>
              <w:bottom w:type="dxa" w:w="80"/>
              <w:right w:type="dxa" w:w="120"/>
            </w:tcMar>
          </w:tcPr>
          <w:p>
            <w:r>
              <w:rPr>
                <w:rFonts w:ascii="Arial" w:cs="Arial" w:eastAsia="Arial" w:hAnsi="Arial"/>
                <w:i/>
                <w:iCs/>
                <w:color w:val="2C2C2C"/>
                <w:sz w:val="19"/>
                <w:szCs w:val="19"/>
              </w:rPr>
              <w:t xml:space="preserve">"Obsługujesz AI w regulowanej branży? Napisz w komentarzu, chętnie porozmawiam."</w:t>
            </w:r>
          </w:p>
        </w:tc>
      </w:tr>
    </w:tbl>
    <w:p>
      <w:pPr>
        <w:pBdr>
          <w:bottom w:val="single" w:color="2E75B6" w:sz="2" w:space="8"/>
        </w:pBdr>
        <w:spacing w:after="260" w:before="260"/>
      </w:pPr>
    </w:p>
    <w:p>
      <w:pPr>
        <w:pStyle w:val="Heading1"/>
      </w:pPr>
      <w:r>
        <w:t xml:space="preserve">The 30-Day Calendar</w:t>
      </w:r>
    </w:p>
    <w:p>
      <w:pPr>
        <w:spacing w:after="160" w:before="0"/>
      </w:pPr>
      <w:r>
        <w:rPr>
          <w:rFonts w:ascii="Arial" w:cs="Arial" w:eastAsia="Arial" w:hAnsi="Arial"/>
          <w:b/>
          <w:bCs/>
          <w:color w:val="1B2A4A"/>
          <w:sz w:val="22"/>
          <w:szCs w:val="22"/>
        </w:rPr>
        <w:t xml:space="preserve">How to read this calendar: </w:t>
      </w:r>
      <w:r>
        <w:rPr>
          <w:rFonts w:ascii="Arial" w:cs="Arial" w:eastAsia="Arial" w:hAnsi="Arial"/>
          <w:color w:val="2C2C2C"/>
          <w:sz w:val="22"/>
          <w:szCs w:val="22"/>
        </w:rPr>
        <w:t xml:space="preserve">Each row is one post. The </w:t>
      </w:r>
      <w:r>
        <w:rPr>
          <w:rFonts w:ascii="Arial" w:cs="Arial" w:eastAsia="Arial" w:hAnsi="Arial"/>
          <w:b/>
          <w:bCs/>
          <w:color w:val="2C2C2C"/>
          <w:sz w:val="22"/>
          <w:szCs w:val="22"/>
        </w:rPr>
        <w:t xml:space="preserve">Hook</w:t>
      </w:r>
      <w:r>
        <w:rPr>
          <w:rFonts w:ascii="Arial" w:cs="Arial" w:eastAsia="Arial" w:hAnsi="Arial"/>
          <w:color w:val="2C2C2C"/>
          <w:sz w:val="22"/>
          <w:szCs w:val="22"/>
        </w:rPr>
        <w:t xml:space="preserve"> is the opening line (copy-paste the bold text as your first line). The post idea below it describes what the rest of the post should cover. Adapt each idea using your real experiences and data.</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4460"/>
        <w:gridCol w:w="2100"/>
      </w:tblGrid>
      <w:tr>
        <w:tc>
          <w:tcPr>
            <w:tcW w:type="dxa" w:w="600"/>
            <w:tcBorders>
              <w:top w:val="single" w:color="D0D0D0" w:sz="1"/>
              <w:left w:val="single" w:color="D0D0D0" w:sz="1"/>
              <w:bottom w:val="single" w:color="D0D0D0" w:sz="1"/>
              <w:right w:val="single" w:color="D0D0D0" w:sz="1"/>
            </w:tcBorders>
            <w:shd w:fill="37474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w:t>
            </w:r>
          </w:p>
        </w:tc>
        <w:tc>
          <w:tcPr>
            <w:tcW w:type="dxa" w:w="1000"/>
            <w:tcBorders>
              <w:top w:val="single" w:color="D0D0D0" w:sz="1"/>
              <w:left w:val="single" w:color="D0D0D0" w:sz="1"/>
              <w:bottom w:val="single" w:color="D0D0D0" w:sz="1"/>
              <w:right w:val="single" w:color="D0D0D0" w:sz="1"/>
            </w:tcBorders>
            <w:shd w:fill="37474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Pillar</w:t>
            </w:r>
          </w:p>
        </w:tc>
        <w:tc>
          <w:tcPr>
            <w:tcW w:type="dxa" w:w="1200"/>
            <w:tcBorders>
              <w:top w:val="single" w:color="D0D0D0" w:sz="1"/>
              <w:left w:val="single" w:color="D0D0D0" w:sz="1"/>
              <w:bottom w:val="single" w:color="D0D0D0" w:sz="1"/>
              <w:right w:val="single" w:color="D0D0D0" w:sz="1"/>
            </w:tcBorders>
            <w:shd w:fill="37474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4460"/>
            <w:tcBorders>
              <w:top w:val="single" w:color="D0D0D0" w:sz="1"/>
              <w:left w:val="single" w:color="D0D0D0" w:sz="1"/>
              <w:bottom w:val="single" w:color="D0D0D0" w:sz="1"/>
              <w:right w:val="single" w:color="D0D0D0" w:sz="1"/>
            </w:tcBorders>
            <w:shd w:fill="37474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Hook + Post Idea</w:t>
            </w:r>
          </w:p>
        </w:tc>
        <w:tc>
          <w:tcPr>
            <w:tcW w:type="dxa" w:w="2100"/>
            <w:tcBorders>
              <w:top w:val="single" w:color="D0D0D0" w:sz="1"/>
              <w:left w:val="single" w:color="D0D0D0" w:sz="1"/>
              <w:bottom w:val="single" w:color="D0D0D0" w:sz="1"/>
              <w:right w:val="single" w:color="D0D0D0" w:sz="1"/>
            </w:tcBorders>
            <w:shd w:fill="37474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CTA</w:t>
            </w:r>
          </w:p>
        </w:tc>
      </w:tr>
      <w:tr>
        <w:tc>
          <w:tcPr>
            <w:tcW w:type="dxa" w:w="9360"/>
            <w:gridSpan w:val="5"/>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 1: </w:t>
            </w:r>
            <w:r>
              <w:rPr>
                <w:rFonts w:ascii="Arial" w:cs="Arial" w:eastAsia="Arial" w:hAnsi="Arial"/>
                <w:color w:val="FFFFFF"/>
                <w:sz w:val="20"/>
                <w:szCs w:val="20"/>
              </w:rPr>
              <w:t xml:space="preserve">"Here I Am" — Establish your voice and set expectations</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1</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Story post</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I lead 11 engineers building AI for insurance. Nobody told us it would be this hard.</w:t>
            </w:r>
          </w:p>
          <w:p>
            <w:pPr>
              <w:spacing w:after="0"/>
            </w:pPr>
            <w:r>
              <w:rPr>
                <w:rFonts w:ascii="Arial" w:cs="Arial" w:eastAsia="Arial" w:hAnsi="Arial"/>
                <w:color w:val="555555"/>
                <w:sz w:val="18"/>
                <w:szCs w:val="18"/>
              </w:rPr>
              <w:t xml:space="preserve">Your origin story at Insly. Why InsurTech + AI is uniquely challenging. Set up the series: "This month I’m sharing everything I’ve learned."</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Follow for 30 days of AI-in-production stories</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Hot take</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"Just add AI" is the new "just add a database." And it’s equally dangerous.</w:t>
            </w:r>
          </w:p>
          <w:p>
            <w:pPr>
              <w:spacing w:after="0"/>
            </w:pPr>
            <w:r>
              <w:rPr>
                <w:rFonts w:ascii="Arial" w:cs="Arial" w:eastAsia="Arial" w:hAnsi="Arial"/>
                <w:color w:val="555555"/>
                <w:sz w:val="18"/>
                <w:szCs w:val="18"/>
              </w:rPr>
              <w:t xml:space="preserve">Break down why AI adoption in regulated industries is 10x harder than the hype suggests. Use insurance as the case study. Reference compliance, data privacy, legacy code.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Agree or disagree? Comments</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3</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Checklist</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Before you build your first RAG system, answer these 5 questions.</w:t>
            </w:r>
          </w:p>
          <w:p>
            <w:pPr>
              <w:spacing w:after="0"/>
            </w:pPr>
            <w:r>
              <w:rPr>
                <w:rFonts w:ascii="Arial" w:cs="Arial" w:eastAsia="Arial" w:hAnsi="Arial"/>
                <w:color w:val="555555"/>
                <w:sz w:val="18"/>
                <w:szCs w:val="18"/>
              </w:rPr>
              <w:t xml:space="preserve">Practical framework: data quality, chunking strategy, retrieval vs. generation ratio, evaluation metrics, compliance constraints. From your real experience.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Save this for your next project</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4</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Career story</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15 years of PHP. Then I learned Python. Then Go. Now AI. Here’s what every pivot taught me.</w:t>
            </w:r>
          </w:p>
          <w:p>
            <w:pPr>
              <w:spacing w:after="0"/>
            </w:pPr>
            <w:r>
              <w:rPr>
                <w:rFonts w:ascii="Arial" w:cs="Arial" w:eastAsia="Arial" w:hAnsi="Arial"/>
                <w:color w:val="555555"/>
                <w:sz w:val="18"/>
                <w:szCs w:val="18"/>
              </w:rPr>
              <w:t xml:space="preserve">Your language journey as a metaphor for continuous learning. Each transition = a lesson about staying relevant. Land on: AI is the next curve, not the last one.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Which language pivot was hardest for you? Comment</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5</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Technical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We built 3 RAG prototypes in 12 months. Here’s what actually worked (and what didn’t).</w:t>
            </w:r>
          </w:p>
          <w:p>
            <w:pPr>
              <w:spacing w:after="0"/>
            </w:pPr>
            <w:r>
              <w:rPr>
                <w:rFonts w:ascii="Arial" w:cs="Arial" w:eastAsia="Arial" w:hAnsi="Arial"/>
                <w:color w:val="555555"/>
                <w:sz w:val="18"/>
                <w:szCs w:val="18"/>
              </w:rPr>
              <w:t xml:space="preserve">Compare the three approaches: what problem each solved, where each failed, which you’d choose today. Name the tools: AWS Bedrock, LightRAG. Be specific.</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Repost if your team is evaluating RAG</w:t>
            </w:r>
          </w:p>
        </w:tc>
      </w:tr>
      <w:tr>
        <w:tc>
          <w:tcPr>
            <w:tcW w:type="dxa" w:w="9360"/>
            <w:gridSpan w:val="5"/>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 2: </w:t>
            </w:r>
            <w:r>
              <w:rPr>
                <w:rFonts w:ascii="Arial" w:cs="Arial" w:eastAsia="Arial" w:hAnsi="Arial"/>
                <w:color w:val="FFFFFF"/>
                <w:sz w:val="20"/>
                <w:szCs w:val="20"/>
              </w:rPr>
              <w:t xml:space="preserve">"Let Me Show You" — Prove technical depth and share real lessons</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6</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Case study</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150,000 users. 1 Microsoft SSO integration. 0 downtime during migration.</w:t>
            </w:r>
          </w:p>
          <w:p>
            <w:pPr>
              <w:spacing w:after="0"/>
            </w:pPr>
            <w:r>
              <w:rPr>
                <w:rFonts w:ascii="Arial" w:cs="Arial" w:eastAsia="Arial" w:hAnsi="Arial"/>
                <w:color w:val="555555"/>
                <w:sz w:val="18"/>
                <w:szCs w:val="18"/>
              </w:rPr>
              <w:t xml:space="preserve">Tell the SSO story: scope, challenges, architecture decisions, what went wrong, how you recovered. Enterprise-scale war stories are LinkedIn gold.</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Follow for more enterprise-scale engineering stories</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7</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Educational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RAG is not just search + LLM. Here’s the part most tutorials skip.</w:t>
            </w:r>
          </w:p>
          <w:p>
            <w:pPr>
              <w:spacing w:after="0"/>
            </w:pPr>
            <w:r>
              <w:rPr>
                <w:rFonts w:ascii="Arial" w:cs="Arial" w:eastAsia="Arial" w:hAnsi="Arial"/>
                <w:color w:val="555555"/>
                <w:sz w:val="18"/>
                <w:szCs w:val="18"/>
              </w:rPr>
              <w:t xml:space="preserve">Teach the evaluation layer: how to measure retrieval quality, when to use reranking, why chunking strategy matters more than model choice. Draw from your 3 prototypes.</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Save this and send it to your AI team</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8</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Opinion 🇵🇱</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W Polsce nikt nie mówi o AI w ubezpieczeniach. A to właśnie tu będzie rewolucja.</w:t>
            </w:r>
          </w:p>
          <w:p>
            <w:pPr>
              <w:spacing w:after="0"/>
            </w:pPr>
            <w:r>
              <w:rPr>
                <w:rFonts w:ascii="Arial" w:cs="Arial" w:eastAsia="Arial" w:hAnsi="Arial"/>
                <w:color w:val="555555"/>
                <w:sz w:val="18"/>
                <w:szCs w:val="18"/>
              </w:rPr>
              <w:t xml:space="preserve">Polish-language post about the opportunity in Polish InsurTech. Reference the digital transformation happening at Insly. Position yourself as the voice of this niche locally.</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Znasz kogoś w InsurTech? Oznacz w komentarzu</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9</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Technical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Our AWS RDS bill was growing 40% year over year. Here’s what we did about it.</w:t>
            </w:r>
          </w:p>
          <w:p>
            <w:pPr>
              <w:spacing w:after="0"/>
            </w:pPr>
            <w:r>
              <w:rPr>
                <w:rFonts w:ascii="Arial" w:cs="Arial" w:eastAsia="Arial" w:hAnsi="Arial"/>
                <w:color w:val="555555"/>
                <w:sz w:val="18"/>
                <w:szCs w:val="18"/>
              </w:rPr>
              <w:t xml:space="preserve">Database optimization story: diagnosis, query analysis, indexing strategy, results. Practical, relatable, shareable. Every engineering leader deals with cloud costs.</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What’s your biggest AWS cost surprise? Comment</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Framework</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I use a 3-question framework before starting any AI project. It’s saved me months.</w:t>
            </w:r>
          </w:p>
          <w:p>
            <w:pPr>
              <w:spacing w:after="0"/>
            </w:pPr>
            <w:r>
              <w:rPr>
                <w:rFonts w:ascii="Arial" w:cs="Arial" w:eastAsia="Arial" w:hAnsi="Arial"/>
                <w:color w:val="555555"/>
                <w:sz w:val="18"/>
                <w:szCs w:val="18"/>
              </w:rPr>
              <w:t xml:space="preserve">Share your decision framework: (1) Is this a retrieval or generation problem? (2) What’s the compliance boundary? (3) Can we evaluate it? Teach with examples from insurance.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DM me ‘framework’ for the full template</w:t>
            </w:r>
          </w:p>
        </w:tc>
      </w:tr>
      <w:tr>
        <w:tc>
          <w:tcPr>
            <w:tcW w:type="dxa" w:w="9360"/>
            <w:gridSpan w:val="5"/>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 3: </w:t>
            </w:r>
            <w:r>
              <w:rPr>
                <w:rFonts w:ascii="Arial" w:cs="Arial" w:eastAsia="Arial" w:hAnsi="Arial"/>
                <w:color w:val="FFFFFF"/>
                <w:sz w:val="20"/>
                <w:szCs w:val="20"/>
              </w:rPr>
              <w:t xml:space="preserve">"I’ve Been Here Before" — Build authority and open source credibility</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11</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Contrarian</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Vibecoding won’t kill developers. But it will kill developers who refuse to adapt.</w:t>
            </w:r>
          </w:p>
          <w:p>
            <w:pPr>
              <w:spacing w:after="0"/>
            </w:pPr>
            <w:r>
              <w:rPr>
                <w:rFonts w:ascii="Arial" w:cs="Arial" w:eastAsia="Arial" w:hAnsi="Arial"/>
                <w:color w:val="555555"/>
                <w:sz w:val="18"/>
                <w:szCs w:val="18"/>
              </w:rPr>
              <w:t xml:space="preserve">Preview of your DevAI talk thesis. What vibecoding gets right, what it gets wrong, and why the nuanced view matters more than the hot take. Build anticipation for the conference.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Coming to DevAI by DSS? Let me know in comments</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12</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Open source</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I’ve contributed to a project with 18 million installs. Here’s what open source taught me about production code.</w:t>
            </w:r>
          </w:p>
          <w:p>
            <w:pPr>
              <w:spacing w:after="0"/>
            </w:pPr>
            <w:r>
              <w:rPr>
                <w:rFonts w:ascii="Arial" w:cs="Arial" w:eastAsia="Arial" w:hAnsi="Arial"/>
                <w:color w:val="555555"/>
                <w:sz w:val="18"/>
                <w:szCs w:val="18"/>
              </w:rPr>
              <w:t xml:space="preserve">SonataAdminBundle story: how you got involved, what you learned about code review at scale, maintaining backward compatibility, community dynamics. This is rare content.</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Follow if you believe in open source</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13</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How-to</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How to set up your first RAG pipeline with AWS Bedrock — in plain English.</w:t>
            </w:r>
          </w:p>
          <w:p>
            <w:pPr>
              <w:spacing w:after="0"/>
            </w:pPr>
            <w:r>
              <w:rPr>
                <w:rFonts w:ascii="Arial" w:cs="Arial" w:eastAsia="Arial" w:hAnsi="Arial"/>
                <w:color w:val="555555"/>
                <w:sz w:val="18"/>
                <w:szCs w:val="18"/>
              </w:rPr>
              <w:t xml:space="preserve">Step-by-step explainer. No jargon where possible. Architecture diagram described in text. Point readers to docs. This is your highest-save-potential post.</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Bookmark this for when you need it</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14</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Leadership</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Last month I ran 360-degree feedback for my 11-person team. One response changed how I lead.</w:t>
            </w:r>
          </w:p>
          <w:p>
            <w:pPr>
              <w:spacing w:after="0"/>
            </w:pPr>
            <w:r>
              <w:rPr>
                <w:rFonts w:ascii="Arial" w:cs="Arial" w:eastAsia="Arial" w:hAnsi="Arial"/>
                <w:color w:val="555555"/>
                <w:sz w:val="18"/>
                <w:szCs w:val="18"/>
              </w:rPr>
              <w:t xml:space="preserve">Personal leadership story. What the feedback revealed. How you changed your approach. Vulnerable but constructive. Engineering managers will connect with this deeply.</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Connect with me if you lead an engineering team</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15</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Architecture 🇵🇱</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Zbudowaliśmy system RAG po polsku, używając modeli Bielik. Oto czego się nauczyliśmy.</w:t>
            </w:r>
          </w:p>
          <w:p>
            <w:pPr>
              <w:spacing w:after="0"/>
            </w:pPr>
            <w:r>
              <w:rPr>
                <w:rFonts w:ascii="Arial" w:cs="Arial" w:eastAsia="Arial" w:hAnsi="Arial"/>
                <w:color w:val="555555"/>
                <w:sz w:val="18"/>
                <w:szCs w:val="18"/>
              </w:rPr>
              <w:t xml:space="preserve">Polish post about Bielik + RAG. Technical enough to be credible, accessible enough for non-AI specialists. Cover: why Polish-language AI matters, GDPR compliance, local hosting advantages.</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Udostępnij, jeśli zależy ci na polskim AI</w:t>
            </w:r>
          </w:p>
        </w:tc>
      </w:tr>
      <w:tr>
        <w:tc>
          <w:tcPr>
            <w:tcW w:type="dxa" w:w="9360"/>
            <w:gridSpan w:val="5"/>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 4: </w:t>
            </w:r>
            <w:r>
              <w:rPr>
                <w:rFonts w:ascii="Arial" w:cs="Arial" w:eastAsia="Arial" w:hAnsi="Arial"/>
                <w:color w:val="FFFFFF"/>
                <w:sz w:val="20"/>
                <w:szCs w:val="20"/>
              </w:rPr>
              <w:t xml:space="preserve">"What’s Next" — Course teasers, community building, forward-looking vision</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16</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Course tease</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I’m building a course called “Agentic AI Developer.” Here’s who it’s for — and who it’s not for.</w:t>
            </w:r>
          </w:p>
          <w:p>
            <w:pPr>
              <w:spacing w:after="0"/>
            </w:pPr>
            <w:r>
              <w:rPr>
                <w:rFonts w:ascii="Arial" w:cs="Arial" w:eastAsia="Arial" w:hAnsi="Arial"/>
                <w:color w:val="555555"/>
                <w:sz w:val="18"/>
                <w:szCs w:val="18"/>
              </w:rPr>
              <w:t xml:space="preserve">Announce your course publicly. Define the audience (experienced devs transitioning to AI), what it covers, what makes it different (regulated industry focus, production-first). Create a waitlist moment.</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DM me ‘AI COURSE’ for early access</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17</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Observation</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Nobody talks about the emotional cost of leading a team through AI transformation.</w:t>
            </w:r>
          </w:p>
          <w:p>
            <w:pPr>
              <w:spacing w:after="0"/>
            </w:pPr>
            <w:r>
              <w:rPr>
                <w:rFonts w:ascii="Arial" w:cs="Arial" w:eastAsia="Arial" w:hAnsi="Arial"/>
                <w:color w:val="555555"/>
                <w:sz w:val="18"/>
                <w:szCs w:val="18"/>
              </w:rPr>
              <w:t xml:space="preserve">The human side: uncertainty among your engineers, pressure from leadership, the balance between shipping and learning. Raw, honest, relatable to every engineering manager.</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Has your team felt this? Share in comments</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18</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Technical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LightRAG vs. AWS Bedrock Knowledge Bases: I’ve used both in production. Here’s when to choose each.</w:t>
            </w:r>
          </w:p>
          <w:p>
            <w:pPr>
              <w:spacing w:after="0"/>
            </w:pPr>
            <w:r>
              <w:rPr>
                <w:rFonts w:ascii="Arial" w:cs="Arial" w:eastAsia="Arial" w:hAnsi="Arial"/>
                <w:color w:val="555555"/>
                <w:sz w:val="18"/>
                <w:szCs w:val="18"/>
              </w:rPr>
              <w:t xml:space="preserve">Direct comparison based on your real experience. Cover: cost, flexibility, vendor lock-in, performance, Polish-language support. Specific and useful.</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Save this for your next architecture decision</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19</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Resource list</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7 tools I actually use for AI development in 2026 (not hype, not sponsored).</w:t>
            </w:r>
          </w:p>
          <w:p>
            <w:pPr>
              <w:spacing w:after="0"/>
            </w:pPr>
            <w:r>
              <w:rPr>
                <w:rFonts w:ascii="Arial" w:cs="Arial" w:eastAsia="Arial" w:hAnsi="Arial"/>
                <w:color w:val="555555"/>
                <w:sz w:val="18"/>
                <w:szCs w:val="18"/>
              </w:rPr>
              <w:t xml:space="preserve">Your real toolkit: Claude, AWS Bedrock, LightRAG, Bielik, Docker, specific libraries. For each: what it does, why you chose it, one tip. Authenticity wins here.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Which tools am I missing? Comment</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20</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Story 🇵🇱</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Pracując jako konsultant, firmy proszą mnie o pomoc z systemami IT. Oto najczęstszy błąd, który widzę.</w:t>
            </w:r>
          </w:p>
          <w:p>
            <w:pPr>
              <w:spacing w:after="0"/>
            </w:pPr>
            <w:r>
              <w:rPr>
                <w:rFonts w:ascii="Arial" w:cs="Arial" w:eastAsia="Arial" w:hAnsi="Arial"/>
                <w:color w:val="555555"/>
                <w:sz w:val="18"/>
                <w:szCs w:val="18"/>
              </w:rPr>
              <w:t xml:space="preserve">Polish post about common consulting patterns. What companies get wrong about AI adoption. Position yourself as the advisor who’s seen it all.</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Potrzebujesz konsultacji AI? Napisz do mnie</w:t>
            </w:r>
          </w:p>
        </w:tc>
      </w:tr>
      <w:tr>
        <w:tc>
          <w:tcPr>
            <w:tcW w:type="dxa" w:w="9360"/>
            <w:gridSpan w:val="5"/>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 5: </w:t>
            </w:r>
            <w:r>
              <w:rPr>
                <w:rFonts w:ascii="Arial" w:cs="Arial" w:eastAsia="Arial" w:hAnsi="Arial"/>
                <w:color w:val="FFFFFF"/>
                <w:sz w:val="20"/>
                <w:szCs w:val="20"/>
              </w:rPr>
              <w:t xml:space="preserve">"Deep Cuts" — Advanced insights and community engagement</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21</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Case study</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We built InslyPay — a mobile payment app for insurance. Here’s what FinTech compliance taught me about building AI.</w:t>
            </w:r>
          </w:p>
          <w:p>
            <w:pPr>
              <w:spacing w:after="0"/>
            </w:pPr>
            <w:r>
              <w:rPr>
                <w:rFonts w:ascii="Arial" w:cs="Arial" w:eastAsia="Arial" w:hAnsi="Arial"/>
                <w:color w:val="555555"/>
                <w:sz w:val="18"/>
                <w:szCs w:val="18"/>
              </w:rPr>
              <w:t xml:space="preserve">InslyPay story connecting payment compliance to AI compliance. The transferable lesson: regulated environments have patterns. Once you learn them, you can ship anything.</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Repost if you build in FinTech or InsurTech</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22</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Contrarian</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The “10x developer” doesn’t exist. But the 10x team does. Here’s how I build one.</w:t>
            </w:r>
          </w:p>
          <w:p>
            <w:pPr>
              <w:spacing w:after="0"/>
            </w:pPr>
            <w:r>
              <w:rPr>
                <w:rFonts w:ascii="Arial" w:cs="Arial" w:eastAsia="Arial" w:hAnsi="Arial"/>
                <w:color w:val="555555"/>
                <w:sz w:val="18"/>
                <w:szCs w:val="18"/>
              </w:rPr>
              <w:t xml:space="preserve">Your team management philosophy. How you hire, how you run feedback cycles, how you create psychological safety for experimentation. Tie back to AI adoption: teams that feel safe learn faster.</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What makes a great engineering team? Comment</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23</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Tutorial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How to evaluate your RAG system’s quality without an ML team.</w:t>
            </w:r>
          </w:p>
          <w:p>
            <w:pPr>
              <w:spacing w:after="0"/>
            </w:pPr>
            <w:r>
              <w:rPr>
                <w:rFonts w:ascii="Arial" w:cs="Arial" w:eastAsia="Arial" w:hAnsi="Arial"/>
                <w:color w:val="555555"/>
                <w:sz w:val="18"/>
                <w:szCs w:val="18"/>
              </w:rPr>
              <w:t xml:space="preserve">Practical evaluation framework for engineering teams. Cover: retrieval precision, answer faithfulness, hallucination detection, A/B testing approaches. From your production experience.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Bookmark this — you’ll need it</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24</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Technical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Symfony is 20 years old. Here’s why it’s still the backbone of enterprise PHP — and what AI changes.</w:t>
            </w:r>
          </w:p>
          <w:p>
            <w:pPr>
              <w:spacing w:after="0"/>
            </w:pPr>
            <w:r>
              <w:rPr>
                <w:rFonts w:ascii="Arial" w:cs="Arial" w:eastAsia="Arial" w:hAnsi="Arial"/>
                <w:color w:val="555555"/>
                <w:sz w:val="18"/>
                <w:szCs w:val="18"/>
              </w:rPr>
              <w:t xml:space="preserve">Celebrate Symfony’s anniversary through your lens. 15 years of your experience. How AI coding assistants change Symfony development. Bridge old and new audiences.</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Follow for the intersection of PHP + AI</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25</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Preview 🇵🇱</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Za kilka tygodni występuję na DevAI by DSS. Oto 3 pytania, które zagram publiczności.</w:t>
            </w:r>
          </w:p>
          <w:p>
            <w:pPr>
              <w:spacing w:after="0"/>
            </w:pPr>
            <w:r>
              <w:rPr>
                <w:rFonts w:ascii="Arial" w:cs="Arial" w:eastAsia="Arial" w:hAnsi="Arial"/>
                <w:color w:val="555555"/>
                <w:sz w:val="18"/>
                <w:szCs w:val="18"/>
              </w:rPr>
              <w:t xml:space="preserve">Polish teaser for your DevAI talk. Share 3 provocative questions you’ll pose. Build anticipation. Tag the conference organizers. Invite people to attend.</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Będziesz na DevAI? Daj znać!</w:t>
            </w:r>
          </w:p>
        </w:tc>
      </w:tr>
      <w:tr>
        <w:tc>
          <w:tcPr>
            <w:tcW w:type="dxa" w:w="9360"/>
            <w:gridSpan w:val="5"/>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 6: </w:t>
            </w:r>
            <w:r>
              <w:rPr>
                <w:rFonts w:ascii="Arial" w:cs="Arial" w:eastAsia="Arial" w:hAnsi="Arial"/>
                <w:color w:val="FFFFFF"/>
                <w:sz w:val="20"/>
                <w:szCs w:val="20"/>
              </w:rPr>
              <w:t xml:space="preserve">"The Capstone" — Consolidate, reflect, and set up for month 2</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26</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Reflection</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I’ve posted on LinkedIn every weekday for a month. Here’s what surprised me.</w:t>
            </w:r>
          </w:p>
          <w:p>
            <w:pPr>
              <w:spacing w:after="0"/>
            </w:pPr>
            <w:r>
              <w:rPr>
                <w:rFonts w:ascii="Arial" w:cs="Arial" w:eastAsia="Arial" w:hAnsi="Arial"/>
                <w:color w:val="555555"/>
                <w:sz w:val="18"/>
                <w:szCs w:val="18"/>
              </w:rPr>
              <w:t xml:space="preserve">Meta-post about the content journey. What you learned, which posts performed, what engagement taught you. This is catnip for the LinkedIn algorithm — meta-content about the platform always does well.</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Follow if this inspired you to start posting</w:t>
            </w:r>
          </w:p>
        </w:tc>
      </w:tr>
      <w:tr>
        <w:tc>
          <w:tcPr>
            <w:tcW w:type="dxa" w:w="6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20"/>
                <w:szCs w:val="20"/>
              </w:rPr>
              <w:t xml:space="preserve">27</w:t>
            </w:r>
          </w:p>
        </w:tc>
        <w:tc>
          <w:tcPr>
            <w:tcW w:type="dxa" w:w="10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pPr>
              <w:jc w:val="center"/>
            </w:pPr>
            <w:r>
              <w:rPr>
                <w:rFonts w:ascii="Arial" w:cs="Arial" w:eastAsia="Arial" w:hAnsi="Arial"/>
                <w:b/>
                <w:bCs/>
                <w:color w:val="1565C0"/>
                <w:sz w:val="16"/>
                <w:szCs w:val="16"/>
              </w:rPr>
              <w:t xml:space="preserve">BUILDER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Technical</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The architecture behind Insly’s multi-system platform: QMT, Calcly, Insly3, and InslyPay.</w:t>
            </w:r>
          </w:p>
          <w:p>
            <w:pPr>
              <w:spacing w:after="0"/>
            </w:pPr>
            <w:r>
              <w:rPr>
                <w:rFonts w:ascii="Arial" w:cs="Arial" w:eastAsia="Arial" w:hAnsi="Arial"/>
                <w:color w:val="555555"/>
                <w:sz w:val="18"/>
                <w:szCs w:val="18"/>
              </w:rPr>
              <w:t xml:space="preserve">High-level architecture overview. How the systems connect. Where AI fits in. Where the complexity lives. Position this as a rare look inside a real InsurTech stack.</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1565C0"/>
                <w:sz w:val="18"/>
                <w:szCs w:val="18"/>
              </w:rPr>
              <w:t xml:space="preserve">Save for InsurTech architecture inspiration</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28</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Mega-list</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Everything I’ve learned about shipping AI in a regulated industry — in one post.</w:t>
            </w:r>
          </w:p>
          <w:p>
            <w:pPr>
              <w:spacing w:after="0"/>
            </w:pPr>
            <w:r>
              <w:rPr>
                <w:rFonts w:ascii="Arial" w:cs="Arial" w:eastAsia="Arial" w:hAnsi="Arial"/>
                <w:color w:val="555555"/>
                <w:sz w:val="18"/>
                <w:szCs w:val="18"/>
              </w:rPr>
              <w:t xml:space="preserve">Consolidation post: 10–15 key lessons from the entire month, distilled. Reference previous posts. This is your anchor content — the one people will link back to.</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Repost this to your engineering team</w:t>
            </w:r>
          </w:p>
        </w:tc>
      </w:tr>
      <w:tr>
        <w:tc>
          <w:tcPr>
            <w:tcW w:type="dxa" w:w="6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29</w:t>
            </w:r>
          </w:p>
        </w:tc>
        <w:tc>
          <w:tcPr>
            <w:tcW w:type="dxa" w:w="10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6"/>
                <w:szCs w:val="16"/>
              </w:rPr>
              <w:t xml:space="preserve">TRENCHES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Vision</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In 2 years, every insurance company will need an AI team. Most aren’t building one. Here’s the playbook.</w:t>
            </w:r>
          </w:p>
          <w:p>
            <w:pPr>
              <w:spacing w:after="0"/>
            </w:pPr>
            <w:r>
              <w:rPr>
                <w:rFonts w:ascii="Arial" w:cs="Arial" w:eastAsia="Arial" w:hAnsi="Arial"/>
                <w:color w:val="555555"/>
                <w:sz w:val="18"/>
                <w:szCs w:val="18"/>
              </w:rPr>
              <w:t xml:space="preserve">Forward-looking thought leadership. What the InsurTech AI landscape will look like. What companies should do now. Position yourself as the person who saw it coming and shared the roadmap.</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C62828"/>
                <w:sz w:val="18"/>
                <w:szCs w:val="18"/>
              </w:rPr>
              <w:t xml:space="preserve">Connect if you’re building AI in insurance</w:t>
            </w:r>
          </w:p>
        </w:tc>
      </w:tr>
      <w:tr>
        <w:tc>
          <w:tcPr>
            <w:tcW w:type="dxa" w:w="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30</w:t>
            </w:r>
          </w:p>
        </w:tc>
        <w:tc>
          <w:tcPr>
            <w:tcW w:type="dxa" w:w="10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EDUCATOR</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18"/>
                <w:szCs w:val="18"/>
              </w:rPr>
              <w:t xml:space="preserve">Course launch</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60"/>
            </w:pPr>
            <w:r>
              <w:rPr>
                <w:rFonts w:ascii="Arial" w:cs="Arial" w:eastAsia="Arial" w:hAnsi="Arial"/>
                <w:b/>
                <w:bCs/>
                <w:color w:val="1B2A4A"/>
                <w:sz w:val="19"/>
                <w:szCs w:val="19"/>
              </w:rPr>
              <w:t xml:space="preserve">30 days ago I started sharing what I know about AI in production. Now I’m turning it into a course.</w:t>
            </w:r>
          </w:p>
          <w:p>
            <w:pPr>
              <w:spacing w:after="0"/>
            </w:pPr>
            <w:r>
              <w:rPr>
                <w:rFonts w:ascii="Arial" w:cs="Arial" w:eastAsia="Arial" w:hAnsi="Arial"/>
                <w:color w:val="555555"/>
                <w:sz w:val="18"/>
                <w:szCs w:val="18"/>
              </w:rPr>
              <w:t xml:space="preserve">Official course announcement. Reference the month’s content as proof of what’s inside. Name the course. Share the audience. Open waitlist or early access. This is the payoff.</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2E7D32"/>
                <w:sz w:val="18"/>
                <w:szCs w:val="18"/>
              </w:rPr>
              <w:t xml:space="preserve">DM ‘COURSE’ for early access + founder pricing</w:t>
            </w:r>
          </w:p>
        </w:tc>
      </w:tr>
    </w:tbl>
    <w:p>
      <w:pPr>
        <w:pBdr>
          <w:bottom w:val="single" w:color="2E75B6" w:sz="2" w:space="8"/>
        </w:pBdr>
        <w:spacing w:after="260" w:before="260"/>
      </w:pPr>
    </w:p>
    <w:p>
      <w:pPr>
        <w:pStyle w:val="Heading1"/>
      </w:pPr>
      <w:r>
        <w:t xml:space="preserve">Post Structure Template</w:t>
      </w:r>
    </w:p>
    <w:p>
      <w:pPr>
        <w:spacing w:after="160" w:before="0"/>
      </w:pPr>
      <w:r>
        <w:rPr>
          <w:rFonts w:ascii="Arial" w:cs="Arial" w:eastAsia="Arial" w:hAnsi="Arial"/>
          <w:color w:val="2C2C2C"/>
          <w:sz w:val="22"/>
          <w:szCs w:val="22"/>
        </w:rPr>
        <w:t xml:space="preserve">Use this skeleton for every post. It works for all three pillars: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DF3F8" w:val="clear"/>
            <w:tcMar>
              <w:top w:type="dxa" w:w="180"/>
              <w:left w:type="dxa" w:w="260"/>
              <w:bottom w:type="dxa" w:w="180"/>
              <w:right w:type="dxa" w:w="260"/>
            </w:tcMar>
          </w:tcPr>
          <w:p>
            <w:pPr>
              <w:spacing w:after="120"/>
            </w:pPr>
            <w:r>
              <w:rPr>
                <w:rFonts w:ascii="Arial" w:cs="Arial" w:eastAsia="Arial" w:hAnsi="Arial"/>
                <w:b/>
                <w:bCs/>
                <w:color w:val="1B2A4A"/>
                <w:sz w:val="22"/>
                <w:szCs w:val="22"/>
              </w:rPr>
              <w:t xml:space="preserve">LINE 1–2: THE HOOK</w:t>
            </w:r>
          </w:p>
          <w:p>
            <w:pPr>
              <w:spacing w:after="120"/>
            </w:pPr>
            <w:r>
              <w:rPr>
                <w:rFonts w:ascii="Arial" w:cs="Arial" w:eastAsia="Arial" w:hAnsi="Arial"/>
                <w:color w:val="555555"/>
                <w:sz w:val="21"/>
                <w:szCs w:val="21"/>
              </w:rPr>
              <w:t xml:space="preserve">Stop the scroll. Use one of the 12 hook formulas. This appears before “See more.” Make it count.</w:t>
            </w:r>
          </w:p>
          <w:p>
            <w:pPr>
              <w:spacing w:after="120"/>
            </w:pPr>
            <w:r>
              <w:rPr>
                <w:rFonts w:ascii="Arial" w:cs="Arial" w:eastAsia="Arial" w:hAnsi="Arial"/>
                <w:sz w:val="8"/>
                <w:szCs w:val="8"/>
              </w:rPr>
              <w:t xml:space="preserve"/>
            </w:r>
          </w:p>
          <w:p>
            <w:pPr>
              <w:spacing w:after="120"/>
            </w:pPr>
            <w:r>
              <w:rPr>
                <w:rFonts w:ascii="Arial" w:cs="Arial" w:eastAsia="Arial" w:hAnsi="Arial"/>
                <w:b/>
                <w:bCs/>
                <w:color w:val="1B2A4A"/>
                <w:sz w:val="22"/>
                <w:szCs w:val="22"/>
              </w:rPr>
              <w:t xml:space="preserve">LINE 3–4: THE CONTEXT</w:t>
            </w:r>
          </w:p>
          <w:p>
            <w:pPr>
              <w:spacing w:after="120"/>
            </w:pPr>
            <w:r>
              <w:rPr>
                <w:rFonts w:ascii="Arial" w:cs="Arial" w:eastAsia="Arial" w:hAnsi="Arial"/>
                <w:color w:val="555555"/>
                <w:sz w:val="21"/>
                <w:szCs w:val="21"/>
              </w:rPr>
              <w:t xml:space="preserve">Set the scene. Who are you, why should they care, what’s at stake. 1–2 sentences max.</w:t>
            </w:r>
          </w:p>
          <w:p>
            <w:pPr>
              <w:spacing w:after="120"/>
            </w:pPr>
            <w:r>
              <w:rPr>
                <w:rFonts w:ascii="Arial" w:cs="Arial" w:eastAsia="Arial" w:hAnsi="Arial"/>
                <w:sz w:val="8"/>
                <w:szCs w:val="8"/>
              </w:rPr>
              <w:t xml:space="preserve"/>
            </w:r>
          </w:p>
          <w:p>
            <w:pPr>
              <w:spacing w:after="120"/>
            </w:pPr>
            <w:r>
              <w:rPr>
                <w:rFonts w:ascii="Arial" w:cs="Arial" w:eastAsia="Arial" w:hAnsi="Arial"/>
                <w:b/>
                <w:bCs/>
                <w:color w:val="1B2A4A"/>
                <w:sz w:val="22"/>
                <w:szCs w:val="22"/>
              </w:rPr>
              <w:t xml:space="preserve">LINE 5–12: THE MEAT</w:t>
            </w:r>
          </w:p>
          <w:p>
            <w:pPr>
              <w:spacing w:after="120"/>
            </w:pPr>
            <w:r>
              <w:rPr>
                <w:rFonts w:ascii="Arial" w:cs="Arial" w:eastAsia="Arial" w:hAnsi="Arial"/>
                <w:color w:val="555555"/>
                <w:sz w:val="21"/>
                <w:szCs w:val="21"/>
              </w:rPr>
              <w:t xml:space="preserve">The insight, lesson, framework, or story. Use short paragraphs (1–2 sentences each). Use line breaks between points. Use → arrows or numbers for lists. Never a wall of text.</w:t>
            </w:r>
          </w:p>
          <w:p>
            <w:pPr>
              <w:spacing w:after="120"/>
            </w:pPr>
            <w:r>
              <w:rPr>
                <w:rFonts w:ascii="Arial" w:cs="Arial" w:eastAsia="Arial" w:hAnsi="Arial"/>
                <w:sz w:val="8"/>
                <w:szCs w:val="8"/>
              </w:rPr>
              <w:t xml:space="preserve"/>
            </w:r>
          </w:p>
          <w:p>
            <w:pPr>
              <w:spacing w:after="120"/>
            </w:pPr>
            <w:r>
              <w:rPr>
                <w:rFonts w:ascii="Arial" w:cs="Arial" w:eastAsia="Arial" w:hAnsi="Arial"/>
                <w:b/>
                <w:bCs/>
                <w:color w:val="1B2A4A"/>
                <w:sz w:val="22"/>
                <w:szCs w:val="22"/>
              </w:rPr>
              <w:t xml:space="preserve">LINE 13–14: THE TAKEAWAY</w:t>
            </w:r>
          </w:p>
          <w:p>
            <w:pPr>
              <w:spacing w:after="120"/>
            </w:pPr>
            <w:r>
              <w:rPr>
                <w:rFonts w:ascii="Arial" w:cs="Arial" w:eastAsia="Arial" w:hAnsi="Arial"/>
                <w:color w:val="555555"/>
                <w:sz w:val="21"/>
                <w:szCs w:val="21"/>
              </w:rPr>
              <w:t xml:space="preserve">One sentence that summarizes what the reader should remember. Bold if possible.</w:t>
            </w:r>
          </w:p>
          <w:p>
            <w:pPr>
              <w:spacing w:after="120"/>
            </w:pPr>
            <w:r>
              <w:rPr>
                <w:rFonts w:ascii="Arial" w:cs="Arial" w:eastAsia="Arial" w:hAnsi="Arial"/>
                <w:sz w:val="8"/>
                <w:szCs w:val="8"/>
              </w:rPr>
              <w:t xml:space="preserve"/>
            </w:r>
          </w:p>
          <w:p>
            <w:pPr>
              <w:spacing w:after="120"/>
            </w:pPr>
            <w:r>
              <w:rPr>
                <w:rFonts w:ascii="Arial" w:cs="Arial" w:eastAsia="Arial" w:hAnsi="Arial"/>
                <w:b/>
                <w:bCs/>
                <w:color w:val="1B2A4A"/>
                <w:sz w:val="22"/>
                <w:szCs w:val="22"/>
              </w:rPr>
              <w:t xml:space="preserve">LINE 15: THE CTA</w:t>
            </w:r>
          </w:p>
          <w:p>
            <w:pPr>
              <w:spacing w:after="120"/>
            </w:pPr>
            <w:r>
              <w:rPr>
                <w:rFonts w:ascii="Arial" w:cs="Arial" w:eastAsia="Arial" w:hAnsi="Arial"/>
                <w:color w:val="555555"/>
                <w:sz w:val="21"/>
                <w:szCs w:val="21"/>
              </w:rPr>
              <w:t xml:space="preserve">One clear ask. Use a CTA template from the table above. Only one CTA per post — never two.</w:t>
            </w:r>
          </w:p>
          <w:p>
            <w:pPr>
              <w:spacing w:after="120"/>
            </w:pPr>
            <w:r>
              <w:rPr>
                <w:rFonts w:ascii="Arial" w:cs="Arial" w:eastAsia="Arial" w:hAnsi="Arial"/>
                <w:sz w:val="8"/>
                <w:szCs w:val="8"/>
              </w:rPr>
              <w:t xml:space="preserve"/>
            </w:r>
          </w:p>
          <w:p>
            <w:pPr>
              <w:spacing w:after="0"/>
            </w:pPr>
            <w:r>
              <w:rPr>
                <w:rFonts w:ascii="Arial" w:cs="Arial" w:eastAsia="Arial" w:hAnsi="Arial"/>
                <w:b/>
                <w:bCs/>
                <w:color w:val="1B2A4A"/>
                <w:sz w:val="20"/>
                <w:szCs w:val="20"/>
              </w:rPr>
              <w:t xml:space="preserve">HASHTAGS (3–5 max): </w:t>
            </w:r>
            <w:r>
              <w:rPr>
                <w:rFonts w:ascii="Arial" w:cs="Arial" w:eastAsia="Arial" w:hAnsi="Arial"/>
                <w:color w:val="555555"/>
                <w:sz w:val="20"/>
                <w:szCs w:val="20"/>
              </w:rPr>
              <w:t xml:space="preserve">#AI #RAG #InsurTech #TechLead #SoftwareEngineering — Rotate based on topic. Never more than 5.</w:t>
            </w:r>
          </w:p>
        </w:tc>
      </w:tr>
    </w:tbl>
    <w:p>
      <w:pPr>
        <w:pBdr>
          <w:bottom w:val="single" w:color="2E75B6" w:sz="2" w:space="8"/>
        </w:pBdr>
        <w:spacing w:after="260" w:before="260"/>
      </w:pPr>
    </w:p>
    <w:p>
      <w:pPr>
        <w:pStyle w:val="Heading1"/>
      </w:pPr>
      <w:r>
        <w:t xml:space="preserve">Engagement Rules (Non-Negotiable)</w:t>
      </w:r>
    </w:p>
    <w:p>
      <w:pPr>
        <w:spacing w:after="160" w:before="0"/>
      </w:pPr>
      <w:r>
        <w:rPr>
          <w:rFonts w:ascii="Arial" w:cs="Arial" w:eastAsia="Arial" w:hAnsi="Arial"/>
          <w:color w:val="2C2C2C"/>
          <w:sz w:val="22"/>
          <w:szCs w:val="22"/>
        </w:rPr>
        <w:t xml:space="preserve">Publishing is only 50% of LinkedIn growth. The other 50% is engagement. Follow these rules every day during the 30-day sprint:</w:t>
      </w:r>
    </w:p>
    <w:p>
      <w:pPr>
        <w:spacing w:before="40"/>
      </w:pPr>
    </w:p>
    <w:p>
      <w:pPr>
        <w:pStyle w:val="ListParagraph"/>
        <w:numPr>
          <w:ilvl w:val="0"/>
          <w:numId w:val="2"/>
        </w:numPr>
        <w:spacing w:after="40"/>
      </w:pPr>
      <w:r>
        <w:rPr>
          <w:rFonts w:ascii="Arial" w:cs="Arial" w:eastAsia="Arial" w:hAnsi="Arial"/>
          <w:b/>
          <w:bCs/>
          <w:color w:val="1B2A4A"/>
          <w:sz w:val="22"/>
          <w:szCs w:val="22"/>
        </w:rPr>
        <w:t xml:space="preserve">Reply to EVERY comment on your posts within 60 minutes.</w:t>
      </w:r>
    </w:p>
    <w:p>
      <w:pPr>
        <w:spacing w:after="160"/>
        <w:ind w:left="720"/>
      </w:pPr>
      <w:r>
        <w:rPr>
          <w:rFonts w:ascii="Arial" w:cs="Arial" w:eastAsia="Arial" w:hAnsi="Arial"/>
          <w:color w:val="555555"/>
          <w:sz w:val="21"/>
          <w:szCs w:val="21"/>
        </w:rPr>
        <w:t xml:space="preserve">LinkedIn’s algorithm treats comments as signals. The faster you reply, the more the algorithm boosts your post. Set a phone alarm for 60 minutes after posting.</w:t>
      </w:r>
    </w:p>
    <w:p>
      <w:pPr>
        <w:pStyle w:val="ListParagraph"/>
        <w:numPr>
          <w:ilvl w:val="0"/>
          <w:numId w:val="2"/>
        </w:numPr>
        <w:spacing w:after="40"/>
      </w:pPr>
      <w:r>
        <w:rPr>
          <w:rFonts w:ascii="Arial" w:cs="Arial" w:eastAsia="Arial" w:hAnsi="Arial"/>
          <w:b/>
          <w:bCs/>
          <w:color w:val="1B2A4A"/>
          <w:sz w:val="22"/>
          <w:szCs w:val="22"/>
        </w:rPr>
        <w:t xml:space="preserve">Comment on 5 other people’s posts before you publish yours.</w:t>
      </w:r>
    </w:p>
    <w:p>
      <w:pPr>
        <w:spacing w:after="160"/>
        <w:ind w:left="720"/>
      </w:pPr>
      <w:r>
        <w:rPr>
          <w:rFonts w:ascii="Arial" w:cs="Arial" w:eastAsia="Arial" w:hAnsi="Arial"/>
          <w:color w:val="555555"/>
          <w:sz w:val="21"/>
          <w:szCs w:val="21"/>
        </w:rPr>
        <w:t xml:space="preserve">This primes the algorithm to show your content to THEIR audiences. Target: AI leaders, InsurTech people, Polish tech figures, Anthropic/OpenAI posts, conference organizers.</w:t>
      </w:r>
    </w:p>
    <w:p>
      <w:pPr>
        <w:pStyle w:val="ListParagraph"/>
        <w:numPr>
          <w:ilvl w:val="0"/>
          <w:numId w:val="2"/>
        </w:numPr>
        <w:spacing w:after="40"/>
      </w:pPr>
      <w:r>
        <w:rPr>
          <w:rFonts w:ascii="Arial" w:cs="Arial" w:eastAsia="Arial" w:hAnsi="Arial"/>
          <w:b/>
          <w:bCs/>
          <w:color w:val="1B2A4A"/>
          <w:sz w:val="22"/>
          <w:szCs w:val="22"/>
        </w:rPr>
        <w:t xml:space="preserve">Your comments should be 3+ sentences and add value.</w:t>
      </w:r>
    </w:p>
    <w:p>
      <w:pPr>
        <w:spacing w:after="160"/>
        <w:ind w:left="720"/>
      </w:pPr>
      <w:r>
        <w:rPr>
          <w:rFonts w:ascii="Arial" w:cs="Arial" w:eastAsia="Arial" w:hAnsi="Arial"/>
          <w:color w:val="555555"/>
          <w:sz w:val="21"/>
          <w:szCs w:val="21"/>
        </w:rPr>
        <w:t xml:space="preserve">Not “Great post!” but “This resonates. At Insly we faced the same challenge with [X] and solved it by [Y]. The key insight was [Z].” Your comments are mini content pieces.</w:t>
      </w:r>
    </w:p>
    <w:p>
      <w:pPr>
        <w:pStyle w:val="ListParagraph"/>
        <w:numPr>
          <w:ilvl w:val="0"/>
          <w:numId w:val="2"/>
        </w:numPr>
        <w:spacing w:after="40"/>
      </w:pPr>
      <w:r>
        <w:rPr>
          <w:rFonts w:ascii="Arial" w:cs="Arial" w:eastAsia="Arial" w:hAnsi="Arial"/>
          <w:b/>
          <w:bCs/>
          <w:color w:val="1B2A4A"/>
          <w:sz w:val="22"/>
          <w:szCs w:val="22"/>
        </w:rPr>
        <w:t xml:space="preserve">Send 5 connection requests per day with a personal note.</w:t>
      </w:r>
    </w:p>
    <w:p>
      <w:pPr>
        <w:spacing w:after="160"/>
        <w:ind w:left="720"/>
      </w:pPr>
      <w:r>
        <w:rPr>
          <w:rFonts w:ascii="Arial" w:cs="Arial" w:eastAsia="Arial" w:hAnsi="Arial"/>
          <w:color w:val="555555"/>
          <w:sz w:val="21"/>
          <w:szCs w:val="21"/>
        </w:rPr>
        <w:t xml:space="preserve">Target: people who engage with your posts, AI practitioners, InsurTech professionals, conference speakers. Note template: “Hi [name], I’m writing about AI in regulated industries and your work on [X] caught my eye. Would love to connect.”</w:t>
      </w:r>
    </w:p>
    <w:p>
      <w:pPr>
        <w:pStyle w:val="ListParagraph"/>
        <w:numPr>
          <w:ilvl w:val="0"/>
          <w:numId w:val="2"/>
        </w:numPr>
        <w:spacing w:after="40"/>
      </w:pPr>
      <w:r>
        <w:rPr>
          <w:rFonts w:ascii="Arial" w:cs="Arial" w:eastAsia="Arial" w:hAnsi="Arial"/>
          <w:b/>
          <w:bCs/>
          <w:color w:val="1B2A4A"/>
          <w:sz w:val="22"/>
          <w:szCs w:val="22"/>
        </w:rPr>
        <w:t xml:space="preserve">Block 30 minutes per day for LinkedIn.</w:t>
      </w:r>
    </w:p>
    <w:p>
      <w:pPr>
        <w:spacing w:after="160"/>
        <w:ind w:left="720"/>
      </w:pPr>
      <w:r>
        <w:rPr>
          <w:rFonts w:ascii="Arial" w:cs="Arial" w:eastAsia="Arial" w:hAnsi="Arial"/>
          <w:color w:val="555555"/>
          <w:sz w:val="21"/>
          <w:szCs w:val="21"/>
        </w:rPr>
        <w:t xml:space="preserve">15 min for commenting before your post. 15 min for replying to comments after. Protect this time like a standup meeting. Without it, the content won’t compound.</w:t>
      </w:r>
    </w:p>
    <w:p>
      <w:pPr>
        <w:pBdr>
          <w:bottom w:val="single" w:color="2E75B6" w:sz="2" w:space="8"/>
        </w:pBdr>
        <w:spacing w:after="260" w:before="260"/>
      </w:pPr>
    </w:p>
    <w:p>
      <w:pPr>
        <w:pStyle w:val="Heading1"/>
      </w:pPr>
      <w:r>
        <w:t xml:space="preserve">Success Metrics</w:t>
      </w:r>
    </w:p>
    <w:p>
      <w:pPr>
        <w:spacing w:after="160" w:before="0"/>
      </w:pPr>
      <w:r>
        <w:rPr>
          <w:rFonts w:ascii="Arial" w:cs="Arial" w:eastAsia="Arial" w:hAnsi="Arial"/>
          <w:color w:val="2C2C2C"/>
          <w:sz w:val="22"/>
          <w:szCs w:val="22"/>
        </w:rPr>
        <w:t xml:space="preserve">Track these weekly in LinkedIn Analytics. Don’t obsess over individual post performance — look at trends across the 30 days: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 1 Target</w:t>
            </w:r>
          </w:p>
        </w:tc>
        <w:tc>
          <w:tcPr>
            <w:tcW w:type="dxa" w:w="23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 2–3</w:t>
            </w:r>
          </w:p>
        </w:tc>
        <w:tc>
          <w:tcPr>
            <w:tcW w:type="dxa" w:w="23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 4–6</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Profile views / week</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2–3x your current baseline</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4–5x baseline</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5–10x baseline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Avg. impressions / post</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500–1,000</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1,000–3,000</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3,000–5,000+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Avg. engagement (likes + comments)</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10–20 per post</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20–50</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50–100+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New followers / week</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15–30</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30–60</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60–100+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Connection requests sent</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25 / week</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25 / week</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25 / week</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DMs received (inbound)</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0–2</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2–5</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5–10+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19"/>
                <w:szCs w:val="19"/>
              </w:rPr>
              <w:t xml:space="preserve">Saves / bookmarks per post</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2–5</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555555"/>
                <w:sz w:val="19"/>
                <w:szCs w:val="19"/>
              </w:rPr>
              <w:t xml:space="preserve">5–15</w:t>
            </w:r>
          </w:p>
        </w:tc>
        <w:tc>
          <w:tcPr>
            <w:tcW w:type="dxa" w:w="232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057642"/>
                <w:sz w:val="19"/>
                <w:szCs w:val="19"/>
              </w:rPr>
              <w:t xml:space="preserve">15–30+</w:t>
            </w:r>
          </w:p>
        </w:tc>
      </w:tr>
    </w:tbl>
    <w:p>
      <w:pPr>
        <w:spacing w:before="200"/>
      </w:pPr>
    </w:p>
    <w:p>
      <w:pPr>
        <w:spacing w:after="160" w:before="0"/>
      </w:pPr>
      <w:r>
        <w:rPr>
          <w:rFonts w:ascii="Arial" w:cs="Arial" w:eastAsia="Arial" w:hAnsi="Arial"/>
          <w:b/>
          <w:bCs/>
          <w:color w:val="1B2A4A"/>
          <w:sz w:val="24"/>
          <w:szCs w:val="24"/>
        </w:rPr>
        <w:t xml:space="preserve">The 30-day goal: </w:t>
      </w:r>
      <w:r>
        <w:rPr>
          <w:rFonts w:ascii="Arial" w:cs="Arial" w:eastAsia="Arial" w:hAnsi="Arial"/>
          <w:color w:val="2C2C2C"/>
          <w:sz w:val="22"/>
          <w:szCs w:val="22"/>
        </w:rPr>
        <w:t xml:space="preserve">Go from invisible to recognizable. By day 30, the Polish tech community should associate your name with “AI in insurance” and “production RAG.” Everything else — followers, inbound opportunities, course signups — follows from that.</w:t>
      </w:r>
    </w:p>
    <w:p>
      <w:pPr>
        <w:spacing w:before="400"/>
      </w:pPr>
    </w:p>
    <w:p>
      <w:pPr>
        <w:pBdr>
          <w:top w:val="single" w:color="2E75B6" w:sz="2" w:space="8"/>
        </w:pBdr>
        <w:spacing w:before="200"/>
        <w:jc w:val="center"/>
      </w:pPr>
      <w:r>
        <w:rPr>
          <w:rFonts w:ascii="Arial" w:cs="Arial" w:eastAsia="Arial" w:hAnsi="Arial"/>
          <w:i/>
          <w:iCs/>
          <w:color w:val="555555"/>
          <w:sz w:val="20"/>
          <w:szCs w:val="20"/>
        </w:rPr>
        <w:t xml:space="preserve">Start with Day 1. Post before 9 AM. Reply to every comment. Repeat for 30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1" w:space="4"/>
      </w:pBdr>
    </w:pPr>
    <w:r>
      <w:rPr>
        <w:rFonts w:ascii="Arial" w:cs="Arial" w:eastAsia="Arial" w:hAnsi="Arial"/>
        <w:color w:val="555555"/>
        <w:sz w:val="16"/>
        <w:szCs w:val="16"/>
      </w:rPr>
      <w:t xml:space="preserve">30-Day LinkedIn Content Plan — Max Małecki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2026-03-03T21:44:38.289Z</dcterms:created>
  <dcterms:modified xsi:type="dcterms:W3CDTF">2026-03-03T21:44:38.290Z</dcterms:modified>
</cp:coreProperties>
</file>

<file path=docProps/custom.xml><?xml version="1.0" encoding="utf-8"?>
<Properties xmlns="http://schemas.openxmlformats.org/officeDocument/2006/custom-properties" xmlns:vt="http://schemas.openxmlformats.org/officeDocument/2006/docPropsVTypes"/>
</file>