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hi-IN"/>
        </w:rPr>
        <w:t xml:space="preserve">Supporting information </w:t>
      </w:r>
      <w:r>
        <w:rPr>
          <w:b/>
          <w:bCs/>
          <w:sz w:val="28"/>
          <w:szCs w:val="28"/>
        </w:rPr>
        <w:t>S3: Reviewed microclimate papers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i/>
          <w:iCs/>
          <w:sz w:val="24"/>
          <w:szCs w:val="24"/>
        </w:rPr>
        <w:t>E. M. Grooss, N. Eisenhauer, Y. Huang, J. Quosh, M. Wendisch, R. Beugnon</w:t>
        <w:br/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10 April, 2025</w:t>
        <w:b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9638" w:type="dxa"/>
        <w:jc w:val="left"/>
        <w:tblInd w:w="86" w:type="dxa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Source</w:t>
            </w:r>
          </w:p>
        </w:tc>
        <w:tc>
          <w:tcPr>
            <w:tcW w:w="4818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Microclimate indices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0" w:name="docs-internal-guid-5b95c567-7fff-2015-22"/>
            <w:bookmarkEnd w:id="0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Aalto, J., Tyystjärvi, V., Niittynen, P., Kemppinen, J., Rissanen, T., Gregow, H., &amp; Luoto, M. (2022). Microclimate temperature variations from boreal forests to the tundra.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Agricultural and Forest Meteorology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323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, 109037. https://doi.org/10.1016/j.agrformet.2022.109037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aggregated the quality-checked temperature time series to monthly means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avg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), maxima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max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 and minima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min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used the 95th percentile to calculate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max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to avoid error from measurement;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three measurement heights * three summary statistics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avg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,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max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,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min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 * 12 months → total of 108 response variables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1" w:name="docs-internal-guid-9b7acc0a-7fff-fb74-77"/>
            <w:bookmarkEnd w:id="1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Allen, D. C. (2016). Microclimate modification by riparian vegetation affects the structure and resource limitation of arthropod communities.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Ecosphere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7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(2), e01200. https://doi.org/10.1002/ecs2.1200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Daily minimum temperature (°C) (mean+sd),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Daily maximum temperature (°C) (mean+sd),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Daily temperature coefficient of variation (mean+sd) 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2" w:name="docs-internal-guid-75a0d99f-7fff-317c-da"/>
            <w:bookmarkEnd w:id="2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Caron, M. M., Zellweger, F., Verheyen, K., Baeten, L., Hédl, R., Bernhardt‐Römermann, M., Berki, I., Brunet, J., Decocq, G., Díaz, S., Dirnböck, T., Durak, T., Heinken, T., Jaroszewicz, B., Kopecký, M., Lenoir, J., Macek, M., Malicki, M., Máliš, F., … De Frenne, P. (2021). Thermal differences between juveniles and adults increased over time in European forest trees.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Journal of Ecology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109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(11), 3944–3957. https://doi.org/10.1111/1365-2745.13773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temperature offset values were calculated as the difference between the daily temperature statistics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min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,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mean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and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max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 recorded inside the forest and the respective temperature statistic recorded by the closest weather station;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daily temperature offsets were aggregated to calculate monthly means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3" w:name="docs-internal-guid-ec27a6ea-7fff-d264-8d"/>
            <w:bookmarkEnd w:id="3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Davis, K. T., Dobrowski, S. Z., Holden, Z. A., Higuera, P. E., &amp; Abatzoglou, J. T. (2019). Microclimatic buffering in forests of the future: the role of local water balance.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Ecography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42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(1), 1–11. https://doi.org/10.1111/ecog.03836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data were aggregated to daily maximum and minimum;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calculated daily buffering for each plot: delta maximum temperature (ΔMXT), delta minimum temperature (ΔMNT), and delta maximum VPD (ΔVPD), by subtracting the values at each sensor from the reference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4" w:name="docs-internal-guid-8004f89a-7fff-32ca-5a"/>
            <w:bookmarkEnd w:id="4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De Frenne, P., Lenoir, J., Luoto, M., Scheffers, B. R., Zellweger, F., Aalto, J., Ashcroft, M. B., Christiansen, D. M., Decocq, G., de Pauw, K., Govaert, S., Greiser, C., Gril, E., Hampe, A., Jucker, T., Klinges, D. H., Koelemeijer, I. A., Lembrechts, J. J., Marrec, R., … Hylander, K. (2021). Forest microclimates and climate change: Importance, drivers and future research agenda.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Global Change Biology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27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(11), 2279–2297. https://doi.org/10.1111/gcb.15569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linear relationship of microclimate and macroclimate: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micro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= intercept + slope *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macro</w:t>
            </w:r>
          </w:p>
          <w:p>
            <w:pPr>
              <w:pStyle w:val="TableContents"/>
              <w:bidi w:val="0"/>
              <w:jc w:val="left"/>
              <w:rPr>
                <w:vertAlign w:val="subscript"/>
              </w:rPr>
            </w:pPr>
            <w:r>
              <w:rPr>
                <w:vertAlign w:val="subscript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slope = 1: coupling,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 &lt; slope &lt; 1: buffering,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slope = 0: decoupling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5" w:name="docs-internal-guid-d70c5034-7fff-546f-04"/>
            <w:bookmarkEnd w:id="5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De Frenne, P., Zellweger, F., Rodríguez-Sánchez, F., Scheffers, B. R., Hylander, K., Luoto, M., Vellend, M., Verheyen, K., &amp; Lenoir, J. (2019). Global buffering of temperatures under forest canopies.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Nature Ecology &amp; Evolution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(5), 744–749. https://doi.org/10.1038/s41559-019-0842-1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summary statistics: maximum, mean and minimum temperatures through time;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magnitude of temperature offset calculated as understory temperature minus the temperature outside the forest;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temperature values of longer time series were always aggregated per season and/or year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6" w:name="docs-internal-guid-8b10cdf8-7fff-766d-5b"/>
            <w:bookmarkEnd w:id="6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Ehbrecht, M., Schall, P., Ammer, C., &amp; Seidel, D. (2017). Quantifying stand structural complexity and its relationship with forest management, tree species diversity and microclimate.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Agricultural and Forest Meteorology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242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, 1–9. https://doi.org/10.1016/j.agrformet.2017.04.012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minimum and maximum values per day were used to calculate mean daily amplitudes of temperature → mean daily temperature amplitude (Δ°C)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7" w:name="docs-internal-guid-e04dc9f5-7fff-9263-90"/>
            <w:bookmarkEnd w:id="7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Finocchiaro, M., Médail, F., Saatkamp, A., Diadema, K., Pavon, D., Brousset, L., &amp; Meineri, E. (2024). Microrefugia and microclimate: Unraveling decoupling potential and resistance to heatwaves.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Science of The Total Environment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924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, 171696. https://doi.org/10.1016/j.scitotenv.2024.171696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four response variables for each site: daily mean temperatures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Mean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), 5th percentile of daily minimum temperatures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Min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), 95th percentile of daily maximum temperatures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max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), and daily thermal amplitude calculated as the difference between daily maximum and minimum temperature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Ampl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8" w:name="docs-internal-guid-223f8749-7fff-b804-89"/>
            <w:bookmarkEnd w:id="8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Finocchiaro, M., Médail, F., Saatkamp, A., Diadema, K., Pavon, D., &amp; Meineri, E. (2023). Bridging the gap between microclimate and microrefugia: A bottom‐up approach reveals strong climatic and biological offsets.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Global Change Biology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29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(4), 1024–1036. https://doi.org/10.1111/gcb.16526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linear regression analysis with difference in temperature between the sites' microclimate and macroclimate as response variable and macroclimate temperature as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explanatory variable → regression slope of the model as a measure of decoupling between macro- and microclimate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9" w:name="docs-internal-guid-f873e331-7fff-d812-d7"/>
            <w:bookmarkEnd w:id="9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Frey, S. J. K., Hadley, A. S., Johnson, S. L., Schulze, M., Jones, J. A., &amp; Betts, M. G. (2016). Spatial models reveal the microclimatic buffering capacity of old-growth forests.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Science Advances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(4), e1501392. https://doi.org/10.1126/sciadv.1501392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cumulative degree days (CDDs) &gt; 0°C and &gt; 10°C; mean, minimum and maximum of the mean monthly temperatures;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variability in temperature as SD of mean weekly temperature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10" w:name="docs-internal-guid-9aa0882c-7fff-f508-16"/>
            <w:bookmarkEnd w:id="10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Gagliardi, S., Avelino, J., Virginio Filho, E. D. M., &amp; Isaac, M. E. (2021). Shade tree traits and microclimate modifications: Implications for pathogen management in biodiverse coffee agroforests.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Biotropica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53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(5), 1356–1367. https://doi.org/10.1111/btp.12984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mean + sd daily maximum air temperature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max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), mean + sd daily minimum air temperature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min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), mean + sd daily air temperature range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range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11" w:name="docs-internal-guid-5dad4141-7fff-14ef-04"/>
            <w:bookmarkEnd w:id="11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Gril, E., Spicher, F., Greiser, C., Ashcroft, M. B., Pincebourde, S., Durrieu, S., Nicolas, M., Richard, B., Decocq, G., Marrec, R., &amp; Lenoir, J. (2023). Slope and equilibrium: A parsimonious and flexible approach to model microclimate.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Methods in Ecology and Evolution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14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(3), 885–897. https://doi.org/10.1111/2041-210X.14048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hourly temp records for micro and macro → slope from linear mixed models with months as random intercept;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mean equilibrium per month from slope as equilibrium = intercept/(1 – slope);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slope corresponds to buffering effect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12" w:name="docs-internal-guid-770948b0-7fff-2fe1-df"/>
            <w:bookmarkEnd w:id="12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Haesen, S., Lembrechts, J. J., De Frenne, P., Lenoir, J., Aalto, J., Ashcroft, M. B., Kopecký, M., Luoto, M., Maclean, I., Nijs, I., Niittynen, P., Van Den Hoogen, J., Arriga, N., Brůna, J., Buchmann, N., Čiliak, M., Collalti, A., De Lombaerde, E., Descombes, P., … Van Meerbeek, K. (2021). ForestTemp – Sub‐canopy microclimate temperatures of European forests.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Global Change Biology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27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(23), 6307–6319. https://doi.org/10.1111/gcb.15892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offset = difference of monthly temp means ∆T = sub-canopy T°C - free-air T°C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13" w:name="docs-internal-guid-c0c73dc9-7fff-534f-0e"/>
            <w:bookmarkEnd w:id="13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Huang, Y., Stein, G., Kolle, O., Kübler, K., Schulze, E.-D., Dong, H., Eichenberg, D., Gleixner, G., Hildebrandt, A., Lange, M., Roscher, C., Schielzeth, H., Schmid, B., Weigelt, A., Weisser, W. W., Shadaydeh, M., Denzler, J., Ebeling, A., &amp; Eisenhauer, N. (2023). Enhanced stability of grassland soil temperature by plant diversity.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Nature Geoscience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, 1–7. https://doi.org/10.1038/s41561-023-01338-5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soil temperature offset = vegetation plot soil temperature - mean soil temperature of bare plots;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soil air temperature offset  = air temperature - soil temperature;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data aggregated to daily level → daily mean soil temperature offset;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dimensionless measure of ecosystem stability: ratio between the mean and standard deviation of soil temperature over hours within a day, or over days within a year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14" w:name="docs-internal-guid-a74166cd-7fff-6f72-19"/>
            <w:bookmarkEnd w:id="14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Kašpar, V., Hederová, L., Macek, M., Müllerová, J., Prošek, J., Surový, P., Wild, J., &amp; Kopecký, M. (2021). Temperature buffering in temperate forests: Comparing microclimate models based on ground measurements with active and passive remote sensing.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Remote Sensing of Environment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263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, 112522. https://doi.org/10.1016/j.rse.2021.112522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95th percentile of daily maximum offset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15" w:name="docs-internal-guid-8b81d8f2-7fff-8ac1-01"/>
            <w:bookmarkEnd w:id="15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Miller, B. D., Carter, K. R., Reed, S. C., Wood, T. E., &amp; Cavaleri, M. A. (2021). Only sun-lit leaves of the uppermost canopy exceed both air temperature and photosynthetic thermal optima in a wet tropical forest.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Agricultural and Forest Meteorology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301–302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, 108347. https://doi.org/10.1016/j.agrformet.2021.108347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local (leaf) temperature maxima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16" w:name="docs-internal-guid-47fd7398-7fff-6df4-d6"/>
            <w:bookmarkEnd w:id="16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Ray, C. A., Kapas, R. E., Opedal, Ø. H., &amp; Blonder, B. W. (2023). Linking microenvironment modification to species interactions and demography in an alpine plant community.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Oikos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2023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(3), e09235. https://doi.org/10.1111/oik.09235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temperature data collected at 20-min intervals, summarized as yearly maximum and minimum temperatures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17" w:name="docs-internal-guid-c637c3c7-7fff-984f-16"/>
            <w:bookmarkEnd w:id="17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Scheffers, B. R., Edwards, D. P., Diesmos, A., Williams, S. E., &amp; Evans, T. A. (2014). Microhabitats reduce animal’s exposure to climate extremes.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Global Change Biology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20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(2), 495–503. https://doi.org/10.1111/gcb.12439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box and whisker plots to display the temperature profile of each habitat in comparison to ambient conditions (macrohabitat measures); used Crawley's (2007) definition of extreme outlier events = all temperature measurements from ambient samples that exceeded the lowest datum above 1.5 times the interquartile range of the upper quartile; for each microhabitat pair quantified the number of hours spent at these extreme temperatures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18" w:name="docs-internal-guid-522c0b1e-7fff-cdef-96"/>
            <w:bookmarkEnd w:id="18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Schnabel, F., Beugnon, R., Yang, B., Richter, R., Eisenhauer, N., Huang, Y., Liu, X., Wirth, C., Cesarz, S., Fichtner, A., Perles‐Garcia, M. D., Hähn, G. J. A., Härdtle, W., Kunz, M., Castro Izaguirre, N. C., Niklaus, P. A., Von Oheimb, G., Schmid, B., Trogisch, S., … Bruelheide, H. (2025). Tree Diversity Increases Forest Temperature Buffering via Enhancing Canopy Density and Structural Diversity.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Ecology Letters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28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(3), e70096. https://doi.org/10.1111/ele.70096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monthly minimum, median, and maximum microclimate temperatures per plot;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minimum and maximum monthly temperatures were calculated by taking the median of the 5% lowest and 95% highest temperatures (= 2.5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</w:rPr>
              <w:t>th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and 97.5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</w:rPr>
              <w:t>th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quantile);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temporal stability of the microclimate calculated as inverse of coefficient of variation S = μ /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σ (μ = mean, σ = standard deviation of hourly temperature measurements per month or year)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19" w:name="docs-internal-guid-af8560b9-7fff-f930-80"/>
            <w:bookmarkEnd w:id="19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Vanwalleghem, T., &amp; Meentemeyer, R. K. (2009). Predicting Forest Microclimate in Heterogeneous Landscapes.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Ecosystems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12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(7), 1158–1172. https://doi.org/10.1007/s10021-009-9281-1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dataset was first summarized at three different time scales: monthly, daily, and hourly;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mean, maximum, and minimum temperature values calculated for each time scale, resulting in the independent variables:</w:t>
              <w:br/>
              <w:t xml:space="preserve">mean, maximum, and minimum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monthly temperature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month,mean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,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month,max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,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month,min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), </w:t>
              <w:br/>
              <w:t>mean, maximum, and minimum daily temperature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day,mean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,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day,max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,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day,min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), and hourly temperature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hour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20" w:name="docs-internal-guid-ad680089-7fff-21af-53"/>
            <w:bookmarkEnd w:id="20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Zellweger, F., Coomes, D., Lenoir, J., Depauw, L., Maes, S. L., Wulf, M., Kirby, K. J., Brunet, J., Kopecký, M., Máliš, F., Schmidt, W., Heinrichs, S., Den Ouden, J., Jaroszewicz, B., Buyse, G., Spicher, F., Verheyen, K., &amp; De Frenne, P. (2019). Seasonal drivers of understorey temperature buffering in temperate deciduous forests across Europe.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Global Ecology and Biogeography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28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(12), 1774–1786. https://doi.org/10.1111/geb.12991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aggregated the hourly temperature data to three daily temperature statistics: minimum daily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min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), mean daily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mean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 and maximum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max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 daily temperature;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defined temperature offset values as the difference between the daily temperature statistics (T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min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,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mean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and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max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 measured inside forest and the respective temperature statistic recorded by the closest official weather station → used offsets of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min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, 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max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, and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bscript"/>
              </w:rPr>
              <w:t>mean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 as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dependent variables;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aggregated daily temperature offsets to calculate monthly means and means across seasons;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offset value for the absolute daily minimum temperature only during winter and spring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21" w:name="docs-internal-guid-94a3939d-7fff-44ea-ce"/>
            <w:bookmarkEnd w:id="21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Zellweger, F., De Frenne, P., Lenoir, J., Vangansbeke, P., Verheyen, K., Bernhardt-Römermann, M., Baeten, L., Hédl, R., Berki, I., Brunet, J., Van Calster, H., Chudomelová, M., Decocq, G., Dirnböck, T., Durak, T., Heinken, T., Jaroszewicz, B., Kopecký, M., Máliš, F., … Coomes, D. (2020). Forest microclimate dynamics drive plant responses to warming.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Science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368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(6492), 772–775. https://doi.org/10.1126/science.aba6880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microclimate data aggregated to daily mean temperatures;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temperature buffering = daily maximum macroclimate temperature - daily maximum microclimate temperature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22" w:name="docs-internal-guid-372dba75-7fff-6602-28"/>
            <w:bookmarkEnd w:id="22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Zhang, D., Brandle, J. R., Hubbard, K. G., Hodges, L., &amp; Daningsih, E. (1999). The Response of Muskmelon Growth and Development to Microclimate Modification by Shelterbelts.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HortScience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34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(1), 64–68. https://doi.org/10.21273/HORTSCI.34.1.64</w:t>
            </w:r>
          </w:p>
        </w:tc>
        <w:tc>
          <w:tcPr>
            <w:tcW w:w="4818" w:type="dxa"/>
            <w:tcBorders>
              <w:right w:val="single" w:sz="6" w:space="0" w:color="009353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all parameters were sampled every minute and hourly averages were recorded; daily mean values were calculated from hourly averages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23" w:name="docs-internal-guid-2b6c84c5-7fff-9b57-51"/>
            <w:bookmarkEnd w:id="23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Zhang, S. (2022). </w:t>
            </w: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>Tree species diversity effects on microclimate buffering, throughfall regulation and litter decomposition in young forest plantations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ffect w:val="none"/>
              </w:rPr>
              <w:t xml:space="preserve"> [Dissertation, Ghent University]. http://hdl.handle.net/1854/LU-01GM376G5Z6P0C0KQA2Y16VQXH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hourly observations summarised into daily statistics → maximum and minimum daily values;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daily offset values calculated based on these daily maximum and minimum values measured in the forest and the open field plots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818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character" w:styleId="NormalTok">
    <w:name w:val="NormalTok"/>
    <w:qFormat/>
    <w:rPr>
      <w:rFonts w:ascii="Consolas" w:hAnsi="Consolas" w:cs="Consolas"/>
      <w:sz w:val="22"/>
      <w:shd w:fill="F8F8F8" w:val="clear"/>
    </w:rPr>
  </w:style>
  <w:style w:type="character" w:styleId="ErrorTok">
    <w:name w:val="ErrorTok"/>
    <w:qFormat/>
    <w:rPr>
      <w:rFonts w:ascii="Consolas" w:hAnsi="Consolas" w:cs="Consolas"/>
      <w:b/>
      <w:color w:val="A40000"/>
      <w:sz w:val="22"/>
      <w:shd w:fill="F8F8F8" w:val="clear"/>
    </w:rPr>
  </w:style>
  <w:style w:type="character" w:styleId="AlertTok">
    <w:name w:val="AlertTok"/>
    <w:qFormat/>
    <w:rPr>
      <w:rFonts w:ascii="Consolas" w:hAnsi="Consolas" w:cs="Consolas"/>
      <w:color w:val="EF2929"/>
      <w:sz w:val="22"/>
      <w:shd w:fill="F8F8F8" w:val="clear"/>
    </w:rPr>
  </w:style>
  <w:style w:type="character" w:styleId="WarningTok">
    <w:name w:val="WarningTok"/>
    <w:qFormat/>
    <w:rPr>
      <w:rFonts w:ascii="Consolas" w:hAnsi="Consolas" w:cs="Consolas"/>
      <w:b/>
      <w:i/>
      <w:color w:val="8F5902"/>
      <w:sz w:val="22"/>
      <w:shd w:fill="F8F8F8" w:val="clear"/>
    </w:rPr>
  </w:style>
  <w:style w:type="character" w:styleId="InformationTok">
    <w:name w:val="InformationTok"/>
    <w:qFormat/>
    <w:rPr>
      <w:rFonts w:ascii="Consolas" w:hAnsi="Consolas" w:cs="Consolas"/>
      <w:b/>
      <w:i/>
      <w:color w:val="8F5902"/>
      <w:sz w:val="22"/>
      <w:shd w:fill="F8F8F8" w:val="clear"/>
    </w:rPr>
  </w:style>
  <w:style w:type="character" w:styleId="RegionMarkerTok">
    <w:name w:val="RegionMarkerTok"/>
    <w:qFormat/>
    <w:rPr>
      <w:rFonts w:ascii="Consolas" w:hAnsi="Consolas" w:cs="Consolas"/>
      <w:sz w:val="22"/>
      <w:shd w:fill="F8F8F8" w:val="clear"/>
    </w:rPr>
  </w:style>
  <w:style w:type="character" w:styleId="AttributeTok">
    <w:name w:val="AttributeTok"/>
    <w:qFormat/>
    <w:rPr>
      <w:rFonts w:ascii="Consolas" w:hAnsi="Consolas" w:cs="Consolas"/>
      <w:color w:val="C4A000"/>
      <w:sz w:val="22"/>
      <w:shd w:fill="F8F8F8" w:val="clear"/>
    </w:rPr>
  </w:style>
  <w:style w:type="character" w:styleId="PreprocessorTok">
    <w:name w:val="PreprocessorTok"/>
    <w:qFormat/>
    <w:rPr>
      <w:rFonts w:ascii="Consolas" w:hAnsi="Consolas" w:cs="Consolas"/>
      <w:i/>
      <w:color w:val="8F5902"/>
      <w:sz w:val="22"/>
      <w:shd w:fill="F8F8F8" w:val="clear"/>
    </w:rPr>
  </w:style>
  <w:style w:type="character" w:styleId="ExtensionTok">
    <w:name w:val="ExtensionTok"/>
    <w:qFormat/>
    <w:rPr>
      <w:rFonts w:ascii="Consolas" w:hAnsi="Consolas" w:cs="Consolas"/>
      <w:sz w:val="22"/>
      <w:shd w:fill="F8F8F8" w:val="clear"/>
    </w:rPr>
  </w:style>
  <w:style w:type="character" w:styleId="BuiltInTok">
    <w:name w:val="BuiltInTok"/>
    <w:qFormat/>
    <w:rPr>
      <w:rFonts w:ascii="Consolas" w:hAnsi="Consolas" w:cs="Consolas"/>
      <w:sz w:val="22"/>
      <w:shd w:fill="F8F8F8" w:val="clear"/>
    </w:rPr>
  </w:style>
  <w:style w:type="character" w:styleId="OperatorTok">
    <w:name w:val="OperatorTok"/>
    <w:qFormat/>
    <w:rPr>
      <w:rFonts w:ascii="Consolas" w:hAnsi="Consolas" w:cs="Consolas"/>
      <w:b/>
      <w:color w:val="CE5C00"/>
      <w:sz w:val="22"/>
      <w:shd w:fill="F8F8F8" w:val="clear"/>
    </w:rPr>
  </w:style>
  <w:style w:type="character" w:styleId="ControlFlowTok">
    <w:name w:val="ControlFlowTok"/>
    <w:qFormat/>
    <w:rPr>
      <w:rFonts w:ascii="Consolas" w:hAnsi="Consolas" w:cs="Consolas"/>
      <w:b/>
      <w:color w:val="204A87"/>
      <w:sz w:val="22"/>
      <w:shd w:fill="F8F8F8" w:val="clear"/>
    </w:rPr>
  </w:style>
  <w:style w:type="character" w:styleId="VariableTok">
    <w:name w:val="VariableTok"/>
    <w:qFormat/>
    <w:rPr>
      <w:rFonts w:ascii="Consolas" w:hAnsi="Consolas" w:cs="Consolas"/>
      <w:color w:val="000000"/>
      <w:sz w:val="22"/>
      <w:shd w:fill="F8F8F8" w:val="clear"/>
    </w:rPr>
  </w:style>
  <w:style w:type="character" w:styleId="FunctionTok">
    <w:name w:val="FunctionTok"/>
    <w:qFormat/>
    <w:rPr>
      <w:rFonts w:ascii="Consolas" w:hAnsi="Consolas" w:cs="Consolas"/>
      <w:color w:val="000000"/>
      <w:sz w:val="22"/>
      <w:shd w:fill="F8F8F8" w:val="clear"/>
    </w:rPr>
  </w:style>
  <w:style w:type="character" w:styleId="OtherTok">
    <w:name w:val="OtherTok"/>
    <w:qFormat/>
    <w:rPr>
      <w:rFonts w:ascii="Consolas" w:hAnsi="Consolas" w:cs="Consolas"/>
      <w:color w:val="8F5902"/>
      <w:sz w:val="22"/>
      <w:shd w:fill="F8F8F8" w:val="clear"/>
    </w:rPr>
  </w:style>
  <w:style w:type="character" w:styleId="CommentVarTok">
    <w:name w:val="CommentVarTok"/>
    <w:qFormat/>
    <w:rPr>
      <w:rFonts w:ascii="Consolas" w:hAnsi="Consolas" w:cs="Consolas"/>
      <w:b/>
      <w:i/>
      <w:color w:val="8F5902"/>
      <w:sz w:val="22"/>
      <w:shd w:fill="F8F8F8" w:val="clear"/>
    </w:rPr>
  </w:style>
  <w:style w:type="character" w:styleId="AnnotationTok">
    <w:name w:val="AnnotationTok"/>
    <w:qFormat/>
    <w:rPr>
      <w:rFonts w:ascii="Consolas" w:hAnsi="Consolas" w:cs="Consolas"/>
      <w:b/>
      <w:i/>
      <w:color w:val="8F5902"/>
      <w:sz w:val="22"/>
      <w:shd w:fill="F8F8F8" w:val="clear"/>
    </w:rPr>
  </w:style>
  <w:style w:type="character" w:styleId="DocumentationTok">
    <w:name w:val="DocumentationTok"/>
    <w:qFormat/>
    <w:rPr>
      <w:rFonts w:ascii="Consolas" w:hAnsi="Consolas" w:cs="Consolas"/>
      <w:b/>
      <w:i/>
      <w:color w:val="8F5902"/>
      <w:sz w:val="22"/>
      <w:shd w:fill="F8F8F8" w:val="clear"/>
    </w:rPr>
  </w:style>
  <w:style w:type="character" w:styleId="CommentTok">
    <w:name w:val="CommentTok"/>
    <w:qFormat/>
    <w:rPr>
      <w:rFonts w:ascii="Consolas" w:hAnsi="Consolas" w:cs="Consolas"/>
      <w:i/>
      <w:color w:val="8F5902"/>
      <w:sz w:val="22"/>
      <w:shd w:fill="F8F8F8" w:val="clear"/>
    </w:rPr>
  </w:style>
  <w:style w:type="character" w:styleId="ImportTok">
    <w:name w:val="ImportTok"/>
    <w:qFormat/>
    <w:rPr>
      <w:rFonts w:ascii="Consolas" w:hAnsi="Consolas" w:cs="Consolas"/>
      <w:sz w:val="22"/>
      <w:shd w:fill="F8F8F8" w:val="clear"/>
    </w:rPr>
  </w:style>
  <w:style w:type="character" w:styleId="SpecialStringTok">
    <w:name w:val="SpecialStringTok"/>
    <w:qFormat/>
    <w:rPr>
      <w:rFonts w:ascii="Consolas" w:hAnsi="Consolas" w:cs="Consolas"/>
      <w:color w:val="4E9A06"/>
      <w:sz w:val="22"/>
      <w:shd w:fill="F8F8F8" w:val="clear"/>
    </w:rPr>
  </w:style>
  <w:style w:type="character" w:styleId="VerbatimStringTok">
    <w:name w:val="VerbatimStringTok"/>
    <w:qFormat/>
    <w:rPr>
      <w:rFonts w:ascii="Consolas" w:hAnsi="Consolas" w:cs="Consolas"/>
      <w:color w:val="4E9A06"/>
      <w:sz w:val="22"/>
      <w:shd w:fill="F8F8F8" w:val="clear"/>
    </w:rPr>
  </w:style>
  <w:style w:type="character" w:styleId="StringTok">
    <w:name w:val="StringTok"/>
    <w:qFormat/>
    <w:rPr>
      <w:rFonts w:ascii="Consolas" w:hAnsi="Consolas" w:cs="Consolas"/>
      <w:color w:val="4E9A06"/>
      <w:sz w:val="22"/>
      <w:shd w:fill="F8F8F8" w:val="clear"/>
    </w:rPr>
  </w:style>
  <w:style w:type="character" w:styleId="SpecialCharTok">
    <w:name w:val="SpecialCharTok"/>
    <w:qFormat/>
    <w:rPr>
      <w:rFonts w:ascii="Consolas" w:hAnsi="Consolas" w:cs="Consolas"/>
      <w:color w:val="000000"/>
      <w:sz w:val="22"/>
      <w:shd w:fill="F8F8F8" w:val="clear"/>
    </w:rPr>
  </w:style>
  <w:style w:type="character" w:styleId="CharTok">
    <w:name w:val="CharTok"/>
    <w:qFormat/>
    <w:rPr>
      <w:rFonts w:ascii="Consolas" w:hAnsi="Consolas" w:cs="Consolas"/>
      <w:color w:val="4E9A06"/>
      <w:sz w:val="22"/>
      <w:shd w:fill="F8F8F8" w:val="clear"/>
    </w:rPr>
  </w:style>
  <w:style w:type="character" w:styleId="ConstantTok">
    <w:name w:val="ConstantTok"/>
    <w:qFormat/>
    <w:rPr>
      <w:rFonts w:ascii="Consolas" w:hAnsi="Consolas" w:cs="Consolas"/>
      <w:color w:val="000000"/>
      <w:sz w:val="22"/>
      <w:shd w:fill="F8F8F8" w:val="clear"/>
    </w:rPr>
  </w:style>
  <w:style w:type="character" w:styleId="FloatTok">
    <w:name w:val="FloatTok"/>
    <w:qFormat/>
    <w:rPr>
      <w:rFonts w:ascii="Consolas" w:hAnsi="Consolas" w:cs="Consolas"/>
      <w:color w:val="0000CF"/>
      <w:sz w:val="22"/>
      <w:shd w:fill="F8F8F8" w:val="clear"/>
    </w:rPr>
  </w:style>
  <w:style w:type="character" w:styleId="BaseNTok">
    <w:name w:val="BaseNTok"/>
    <w:qFormat/>
    <w:rPr>
      <w:rFonts w:ascii="Consolas" w:hAnsi="Consolas" w:cs="Consolas"/>
      <w:color w:val="0000CF"/>
      <w:sz w:val="22"/>
      <w:shd w:fill="F8F8F8" w:val="clear"/>
    </w:rPr>
  </w:style>
  <w:style w:type="character" w:styleId="DecValTok">
    <w:name w:val="DecValTok"/>
    <w:qFormat/>
    <w:rPr>
      <w:rFonts w:ascii="Consolas" w:hAnsi="Consolas" w:cs="Consolas"/>
      <w:color w:val="0000CF"/>
      <w:sz w:val="22"/>
      <w:shd w:fill="F8F8F8" w:val="clear"/>
    </w:rPr>
  </w:style>
  <w:style w:type="character" w:styleId="DataTypeTok">
    <w:name w:val="DataTypeTok"/>
    <w:qFormat/>
    <w:rPr>
      <w:rFonts w:ascii="Consolas" w:hAnsi="Consolas" w:cs="Consolas"/>
      <w:color w:val="204A87"/>
      <w:sz w:val="22"/>
      <w:shd w:fill="F8F8F8" w:val="clear"/>
    </w:rPr>
  </w:style>
  <w:style w:type="character" w:styleId="KeywordTok">
    <w:name w:val="KeywordTok"/>
    <w:qFormat/>
    <w:rPr>
      <w:rFonts w:ascii="Consolas" w:hAnsi="Consolas" w:cs="Consolas"/>
      <w:b/>
      <w:color w:val="204A87"/>
      <w:sz w:val="22"/>
      <w:shd w:fill="F8F8F8" w:val="clear"/>
    </w:rPr>
  </w:style>
  <w:style w:type="character" w:styleId="SectionNumber">
    <w:name w:val="Section Number"/>
    <w:qFormat/>
    <w:rPr/>
  </w:style>
  <w:style w:type="character" w:styleId="VerbatimChar">
    <w:name w:val="Verbatim Char"/>
    <w:qFormat/>
    <w:rPr>
      <w:rFonts w:ascii="Consolas" w:hAnsi="Consolas" w:cs="Consolas"/>
      <w:sz w:val="22"/>
    </w:rPr>
  </w:style>
  <w:style w:type="character" w:styleId="BodyTextChar">
    <w:name w:val="Body Text Char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ourceCode">
    <w:name w:val="Source Code"/>
    <w:basedOn w:val="Normal"/>
    <w:qFormat/>
    <w:pPr>
      <w:shd w:fill="F8F8F8"/>
    </w:pPr>
    <w:rPr/>
  </w:style>
  <w:style w:type="paragraph" w:styleId="TOCHeading">
    <w:name w:val="TOC Heading"/>
    <w:basedOn w:val="Heading1"/>
    <w:qFormat/>
    <w:pPr>
      <w:keepNext w:val="true"/>
      <w:keepLines/>
      <w:spacing w:lineRule="auto" w:line="256" w:before="240" w:after="0"/>
    </w:pPr>
    <w:rPr>
      <w:rFonts w:ascii="Calibri" w:hAnsi="Calibri" w:eastAsia="0"/>
      <w:b w:val="false"/>
      <w:bCs w:val="false"/>
      <w:color w:val="365F91"/>
      <w:sz w:val="32"/>
      <w:szCs w:val="32"/>
      <w:lang w:eastAsia="ar-SA"/>
    </w:rPr>
  </w:style>
  <w:style w:type="paragraph" w:styleId="CaptionedFigure">
    <w:name w:val="Captioned Figure"/>
    <w:qFormat/>
    <w:pPr>
      <w:keepNext w:val="true"/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0"/>
      <w:szCs w:val="24"/>
      <w:lang w:val="en-US" w:eastAsia="zh-CN" w:bidi="hi-IN"/>
    </w:rPr>
  </w:style>
  <w:style w:type="paragraph" w:styleId="ImageCaption">
    <w:name w:val="Image Caption"/>
    <w:qFormat/>
    <w:pPr>
      <w:widowControl/>
      <w:bidi w:val="0"/>
      <w:spacing w:before="0" w:after="120"/>
      <w:jc w:val="left"/>
    </w:pPr>
    <w:rPr>
      <w:rFonts w:ascii="Liberation Serif" w:hAnsi="Liberation Serif" w:eastAsia="Noto Serif CJK SC" w:cs="Lohit Devanagari"/>
      <w:i/>
      <w:color w:val="auto"/>
      <w:kern w:val="2"/>
      <w:sz w:val="20"/>
      <w:szCs w:val="24"/>
      <w:lang w:eastAsia="ar-SA" w:val="en-US" w:bidi="hi-IN"/>
    </w:rPr>
  </w:style>
  <w:style w:type="paragraph" w:styleId="TableCaption">
    <w:name w:val="Table Caption"/>
    <w:qFormat/>
    <w:pPr>
      <w:keepNext w:val="true"/>
      <w:widowControl/>
      <w:bidi w:val="0"/>
      <w:spacing w:before="0" w:after="120"/>
      <w:jc w:val="left"/>
    </w:pPr>
    <w:rPr>
      <w:rFonts w:ascii="Liberation Serif" w:hAnsi="Liberation Serif" w:eastAsia="Noto Serif CJK SC" w:cs="Lohit Devanagari"/>
      <w:i/>
      <w:color w:val="auto"/>
      <w:kern w:val="2"/>
      <w:sz w:val="20"/>
      <w:szCs w:val="24"/>
      <w:lang w:eastAsia="ar-SA" w:val="en-US" w:bidi="hi-IN"/>
    </w:rPr>
  </w:style>
  <w:style w:type="paragraph" w:styleId="Definition">
    <w:name w:val="Definition"/>
    <w:basedOn w:val="Normal"/>
    <w:qFormat/>
    <w:pPr/>
    <w:rPr/>
  </w:style>
  <w:style w:type="paragraph" w:styleId="DefinitionTerm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BlockText">
    <w:name w:val="Block Text"/>
    <w:qFormat/>
    <w:pPr>
      <w:widowControl/>
      <w:bidi w:val="0"/>
      <w:spacing w:before="100" w:after="100"/>
      <w:ind w:left="480" w:right="480" w:hanging="0"/>
      <w:jc w:val="left"/>
    </w:pPr>
    <w:rPr>
      <w:rFonts w:ascii="Liberation Serif" w:hAnsi="Liberation Serif" w:eastAsia="Noto Serif CJK SC" w:cs="Lohit Devanagari"/>
      <w:color w:val="auto"/>
      <w:kern w:val="2"/>
      <w:sz w:val="20"/>
      <w:szCs w:val="24"/>
      <w:lang w:val="en-US" w:eastAsia="zh-CN" w:bidi="hi-IN"/>
    </w:rPr>
  </w:style>
  <w:style w:type="paragraph" w:styleId="Bibliography">
    <w:name w:val="Bibliography"/>
    <w:basedOn w:val="Normal"/>
    <w:qFormat/>
    <w:pPr/>
    <w:rPr/>
  </w:style>
  <w:style w:type="paragraph" w:styleId="Abstract">
    <w:name w:val="Abstract"/>
    <w:basedOn w:val="Normal"/>
    <w:qFormat/>
    <w:pPr>
      <w:keepNext w:val="true"/>
      <w:keepLines/>
      <w:spacing w:before="300" w:after="300"/>
    </w:pPr>
    <w:rPr>
      <w:sz w:val="20"/>
    </w:rPr>
  </w:style>
  <w:style w:type="paragraph" w:styleId="Date">
    <w:name w:val="Date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0" w:cs="Liberation Serif"/>
      <w:color w:val="auto"/>
      <w:kern w:val="0"/>
      <w:sz w:val="24"/>
      <w:szCs w:val="24"/>
      <w:lang w:val="en-US" w:eastAsia="ar-SA" w:bidi="hi-IN"/>
    </w:rPr>
  </w:style>
  <w:style w:type="paragraph" w:styleId="Author">
    <w:name w:val="Author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0" w:cs="Liberation Serif"/>
      <w:color w:val="auto"/>
      <w:kern w:val="0"/>
      <w:sz w:val="24"/>
      <w:szCs w:val="24"/>
      <w:lang w:val="en-US" w:eastAsia="ar-SA" w:bidi="hi-IN"/>
    </w:rPr>
  </w:style>
  <w:style w:type="paragraph" w:styleId="Compact">
    <w:name w:val="Compact"/>
    <w:qFormat/>
    <w:pPr>
      <w:widowControl/>
      <w:bidi w:val="0"/>
      <w:spacing w:before="36" w:after="36"/>
      <w:jc w:val="left"/>
    </w:pPr>
    <w:rPr>
      <w:rFonts w:ascii="Liberation Serif" w:hAnsi="Liberation Serif" w:eastAsia="Noto Serif CJK SC" w:cs="Lohit Devanagari"/>
      <w:color w:val="auto"/>
      <w:kern w:val="2"/>
      <w:sz w:val="20"/>
      <w:szCs w:val="24"/>
      <w:lang w:val="en-US" w:eastAsia="zh-CN" w:bidi="hi-IN"/>
    </w:rPr>
  </w:style>
  <w:style w:type="paragraph" w:styleId="FirstParagraph">
    <w:name w:val="First Paragraph"/>
    <w:qFormat/>
    <w:pPr>
      <w:widowControl/>
      <w:bidi w:val="0"/>
      <w:spacing w:before="180" w:after="180"/>
      <w:jc w:val="left"/>
    </w:pPr>
    <w:rPr>
      <w:rFonts w:ascii="Liberation Serif" w:hAnsi="Liberation Serif" w:eastAsia="Noto Serif CJK SC" w:cs="Lohit Devanagari"/>
      <w:color w:val="auto"/>
      <w:kern w:val="2"/>
      <w:sz w:val="20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LibreOffice/6.4.4.2$Linux_X86_64 LibreOffice_project/40$Build-2</Application>
  <Pages>5</Pages>
  <Words>1847</Words>
  <Characters>11554</Characters>
  <CharactersWithSpaces>13317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2025-04-10T11:52:17Z</dcterms:modified>
  <cp:revision>10</cp:revision>
  <dc:subject/>
  <dc:title/>
</cp:coreProperties>
</file>