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Status — OpenAntenna Studio</w:t>
      </w:r>
    </w:p>
    <w:p>
      <w:pPr>
        <w:jc w:val="left"/>
      </w:pPr>
      <w:r>
        <w:t>Disusun oleh Yotta (peran: verifikasi &amp; analisis independen) · 2026-09-21 · snapshot main @ c96dd8d3</w:t>
      </w:r>
    </w:p>
    <w:p>
      <w:pPr>
        <w:pStyle w:val="Heading1"/>
      </w:pPr>
      <w:r>
        <w:t>1. Ringkasan eksekutif</w:t>
      </w:r>
    </w:p>
    <w:p>
      <w:pPr>
        <w:pStyle w:val="ListBullet"/>
      </w:pPr>
      <w:r>
        <w:t>Proyek berjalan dan sehat: 149 test lulus (0 skip) setelah environment GUI terpasang; tidak ada celah audit mutasi yang tersisa.</w:t>
      </w:r>
    </w:p>
    <w:p>
      <w:pPr>
        <w:pStyle w:val="ListBullet"/>
      </w:pPr>
      <w:r>
        <w:t>Kalkulator desainnya (sintesis geometri, S-parameter, pola/directivity, material) akurat pada tingkat ≤ 0,1–1 % terhadap rumus acuan dan telah di-cross-check independen.</w:t>
      </w:r>
    </w:p>
    <w:p>
      <w:pPr>
        <w:pStyle w:val="ListBullet"/>
      </w:pPr>
      <w:r>
        <w:t>Mesin simulasinya BELUM terkalibrasi: capaian frekuensi contoh patch baru 92–93 % dari target (selisih −6–8 %), sementara plafon toolchain sendiri ±1,5 %.</w:t>
      </w:r>
    </w:p>
    <w:p>
      <w:pPr>
        <w:pStyle w:val="ListBullet"/>
      </w:pPr>
      <w:r>
        <w:t>Selisih itu sudah terlokalisasi: ~2 % dari pemilihan prediktor (transmission-line vs cavity) dan ~2,3–5 % dari konstruksi model; snapping tepi metal memulihkan separuh bias konstruksi.</w:t>
      </w:r>
    </w:p>
    <w:p>
      <w:pPr>
        <w:pStyle w:val="ListBullet"/>
      </w:pPr>
      <w:r>
        <w:t>Penghalang terbesar untuk dipakai sebagai otoritas fabrikasi: bias konstruksi sisa, realisasi feed (probe vs inset coplanar), dan loss yang belum divalidasi.</w:t>
      </w:r>
    </w:p>
    <w:p>
      <w:pPr>
        <w:pStyle w:val="Heading1"/>
      </w:pPr>
      <w:r>
        <w:t>2. Status akurasi (dua lapisan yang harus dibedakan)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Lapisan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Ukuran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t>Numerik/pustaka</w:t>
            </w:r>
          </w:p>
        </w:tc>
        <w:tc>
          <w:tcPr>
            <w:tcW w:type="dxa" w:w="2880"/>
          </w:tcPr>
          <w:p>
            <w:r>
              <w:t>rumus patch vs contoh Balanis</w:t>
            </w:r>
          </w:p>
        </w:tc>
        <w:tc>
          <w:tcPr>
            <w:tcW w:type="dxa" w:w="2880"/>
          </w:tcPr>
          <w:p>
            <w:r>
              <w:t>galat &lt; 0,1 % (W 11,850 vs 11,86 mm; L 9,053 vs 9,06 mm)</w:t>
            </w:r>
          </w:p>
        </w:tc>
      </w:tr>
      <w:tr>
        <w:tc>
          <w:tcPr>
            <w:tcW w:type="dxa" w:w="2880"/>
          </w:tcPr>
          <w:p>
            <w:r>
              <w:t>Numerik/pustaka</w:t>
            </w:r>
          </w:p>
        </w:tc>
        <w:tc>
          <w:tcPr>
            <w:tcW w:type="dxa" w:w="2880"/>
          </w:tcPr>
          <w:p>
            <w:r>
              <w:t>integrasi pola vs teori</w:t>
            </w:r>
          </w:p>
        </w:tc>
        <w:tc>
          <w:tcPr>
            <w:tcW w:type="dxa" w:w="2880"/>
          </w:tcPr>
          <w:p>
            <w:r>
              <w:t>D 1,5000 dan 1,6409 (teori 1,5 dan 1,641)</w:t>
            </w:r>
          </w:p>
        </w:tc>
      </w:tr>
      <w:tr>
        <w:tc>
          <w:tcPr>
            <w:tcW w:type="dxa" w:w="2880"/>
          </w:tcPr>
          <w:p>
            <w:r>
              <w:t>Numerik/pustaka</w:t>
            </w:r>
          </w:p>
        </w:tc>
        <w:tc>
          <w:tcPr>
            <w:tcW w:type="dxa" w:w="2880"/>
          </w:tcPr>
          <w:p>
            <w:r>
              <w:t>cavity vs solver independen (tutorial)</w:t>
            </w:r>
          </w:p>
        </w:tc>
        <w:tc>
          <w:tcPr>
            <w:tcW w:type="dxa" w:w="2880"/>
          </w:tcPr>
          <w:p>
            <w:r>
              <w:t>0,05 % (2,4363 vs 2,435 GHz)</w:t>
            </w:r>
          </w:p>
        </w:tc>
      </w:tr>
      <w:tr>
        <w:tc>
          <w:tcPr>
            <w:tcW w:type="dxa" w:w="2880"/>
          </w:tcPr>
          <w:p>
            <w:r>
              <w:t>Fisik/full-wave</w:t>
            </w:r>
          </w:p>
        </w:tc>
        <w:tc>
          <w:tcPr>
            <w:tcW w:type="dxa" w:w="2880"/>
          </w:tcPr>
          <w:p>
            <w:r>
              <w:t>patch PTFE 2,45 GHz</w:t>
            </w:r>
          </w:p>
        </w:tc>
        <w:tc>
          <w:tcPr>
            <w:tcW w:type="dxa" w:w="2880"/>
          </w:tcPr>
          <w:p>
            <w:r>
              <w:t>2,260–2,281 GHz → −6,9…−7,8 %</w:t>
            </w:r>
          </w:p>
        </w:tc>
      </w:tr>
      <w:tr>
        <w:tc>
          <w:tcPr>
            <w:tcW w:type="dxa" w:w="2880"/>
          </w:tcPr>
          <w:p>
            <w:r>
              <w:t>Fisik/full-wave</w:t>
            </w:r>
          </w:p>
        </w:tc>
        <w:tc>
          <w:tcPr>
            <w:tcW w:type="dxa" w:w="2880"/>
          </w:tcPr>
          <w:p>
            <w:r>
              <w:t>capaian frekuensi</w:t>
            </w:r>
          </w:p>
        </w:tc>
        <w:tc>
          <w:tcPr>
            <w:tcW w:type="dxa" w:w="2880"/>
          </w:tcPr>
          <w:p>
            <w:r>
              <w:t>92,2–93,1 % dari target</w:t>
            </w:r>
          </w:p>
        </w:tc>
      </w:tr>
      <w:tr>
        <w:tc>
          <w:tcPr>
            <w:tcW w:type="dxa" w:w="2880"/>
          </w:tcPr>
          <w:p>
            <w:r>
              <w:t>Fisik/full-wave</w:t>
            </w:r>
          </w:p>
        </w:tc>
        <w:tc>
          <w:tcPr>
            <w:tcW w:type="dxa" w:w="2880"/>
          </w:tcPr>
          <w:p>
            <w:r>
              <w:t>plafon toolchain (anchor tutorial)</w:t>
            </w:r>
          </w:p>
        </w:tc>
        <w:tc>
          <w:tcPr>
            <w:tcW w:type="dxa" w:w="2880"/>
          </w:tcPr>
          <w:p>
            <w:r>
              <w:t>±1,5 %</w:t>
            </w:r>
          </w:p>
        </w:tc>
      </w:tr>
      <w:tr>
        <w:tc>
          <w:tcPr>
            <w:tcW w:type="dxa" w:w="2880"/>
          </w:tcPr>
          <w:p>
            <w:r>
              <w:t>Fisik/full-wave</w:t>
            </w:r>
          </w:p>
        </w:tc>
        <w:tc>
          <w:tcPr>
            <w:tcW w:type="dxa" w:w="2880"/>
          </w:tcPr>
          <w:p>
            <w:r>
              <w:t>selisih antar-model analitik</w:t>
            </w:r>
          </w:p>
        </w:tc>
        <w:tc>
          <w:tcPr>
            <w:tcW w:type="dxa" w:w="2880"/>
          </w:tcPr>
          <w:p>
            <w:r>
              <w:t>2,0 % (TL 2,4500 vs cavity 2,4007 GHz)</w:t>
            </w:r>
          </w:p>
        </w:tc>
      </w:tr>
    </w:tbl>
    <w:p>
      <w:pPr>
        <w:pStyle w:val="Heading1"/>
      </w:pPr>
      <w:r>
        <w:t>3. Yang sudah terverifikasi (dengan bukti)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Jumlah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Temuan telaah awal (Y-01…Y-19)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17 diperbaiki &amp; diverifikasi; 1 gugur oleh data (Y-18); 3 perbaikan sebagian</w:t>
            </w:r>
          </w:p>
        </w:tc>
      </w:tr>
      <w:tr>
        <w:tc>
          <w:tcPr>
            <w:tcW w:type="dxa" w:w="2880"/>
          </w:tcPr>
          <w:p>
            <w:r>
              <w:t>Celah audit mutasi (T-1…T-3, M11, M13, M14)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tertutup — setiap mutasi kini tertangkap test khusus</w:t>
            </w:r>
          </w:p>
        </w:tc>
      </w:tr>
      <w:tr>
        <w:tc>
          <w:tcPr>
            <w:tcW w:type="dxa" w:w="2880"/>
          </w:tcPr>
          <w:p>
            <w:r>
              <w:t>Drift dokumen (D-01)</w:t>
            </w:r>
          </w:p>
        </w:tc>
        <w:tc>
          <w:tcPr>
            <w:tcW w:type="dxa" w:w="2880"/>
          </w:tcPr>
          <w:p>
            <w:r>
              <w:t>4 berkas</w:t>
            </w:r>
          </w:p>
        </w:tc>
        <w:tc>
          <w:tcPr>
            <w:tcW w:type="dxa" w:w="2880"/>
          </w:tcPr>
          <w:p>
            <w:r>
              <w:t>selesai — pencarian drift tidak menemukan sisa</w:t>
            </w:r>
          </w:p>
        </w:tc>
      </w:tr>
      <w:tr>
        <w:tc>
          <w:tcPr>
            <w:tcW w:type="dxa" w:w="2880"/>
          </w:tcPr>
          <w:p>
            <w:r>
              <w:t>Perbaikan GUI (G-1…G-7)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terverifikasi eksekusi — 5 test GUI benar-benar berjalan &amp; lolos</w:t>
            </w:r>
          </w:p>
        </w:tc>
      </w:tr>
      <w:tr>
        <w:tc>
          <w:tcPr>
            <w:tcW w:type="dxa" w:w="2880"/>
          </w:tcPr>
          <w:p>
            <w:r>
              <w:t>Reproduksibilitas skrip riset (S-1…S-4)</w:t>
            </w:r>
          </w:p>
        </w:tc>
        <w:tc>
          <w:tcPr>
            <w:tcW w:type="dxa" w:w="2880"/>
          </w:tcPr>
          <w:p>
            <w:r>
              <w:t>9 berkas + launcher</w:t>
            </w:r>
          </w:p>
        </w:tc>
        <w:tc>
          <w:tcPr>
            <w:tcW w:type="dxa" w:w="2880"/>
          </w:tcPr>
          <w:p>
            <w:r>
              <w:t>selesai — ROOT dari lokasi repo, OPENEMS_ROOT dari environment</w:t>
            </w:r>
          </w:p>
        </w:tc>
      </w:tr>
      <w:tr>
        <w:tc>
          <w:tcPr>
            <w:tcW w:type="dxa" w:w="2880"/>
          </w:tcPr>
          <w:p>
            <w:r>
              <w:t>Perbaikan baru dari Yotta (A4 + alat)</w:t>
            </w:r>
          </w:p>
        </w:tc>
        <w:tc>
          <w:tcPr>
            <w:tcW w:type="dxa" w:w="2880"/>
          </w:tcPr>
          <w:p>
            <w:r>
              <w:t>4 item</w:t>
            </w:r>
          </w:p>
        </w:tc>
        <w:tc>
          <w:tcPr>
            <w:tcW w:type="dxa" w:w="2880"/>
          </w:tcPr>
          <w:p>
            <w:r>
              <w:t>port_refine, tabel acuan tunggal, protokol A/B, benchmark &amp; gate</w:t>
            </w:r>
          </w:p>
        </w:tc>
      </w:tr>
    </w:tbl>
    <w:p>
      <w:pPr>
        <w:pStyle w:val="Heading1"/>
      </w:pPr>
      <w:r>
        <w:t>4. Temuan terbuka dan pemiliknya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Pemilik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Kenapa penting</w:t>
            </w:r>
          </w:p>
        </w:tc>
      </w:tr>
      <w:tr>
        <w:tc>
          <w:tcPr>
            <w:tcW w:type="dxa" w:w="2880"/>
          </w:tcPr>
          <w:p>
            <w:r>
              <w:t>A-3 tabel generalisasi ber-acuan tunggal</w:t>
            </w:r>
          </w:p>
        </w:tc>
        <w:tc>
          <w:tcPr>
            <w:tcW w:type="dxa" w:w="2880"/>
          </w:tcPr>
          <w:p>
            <w:r>
              <w:t>Aksara</w:t>
            </w:r>
          </w:p>
        </w:tc>
        <w:tc>
          <w:tcPr>
            <w:tcW w:type="dxa" w:w="2880"/>
          </w:tcPr>
          <w:p>
            <w:r>
              <w:t>P0 — menentukan: kalibrasi sekali atau per geometri</w:t>
            </w:r>
          </w:p>
        </w:tc>
      </w:tr>
      <w:tr>
        <w:tc>
          <w:tcPr>
            <w:tcW w:type="dxa" w:w="2880"/>
          </w:tcPr>
          <w:p>
            <w:r>
              <w:t>A-1 A/B port_refine</w:t>
            </w:r>
          </w:p>
        </w:tc>
        <w:tc>
          <w:tcPr>
            <w:tcW w:type="dxa" w:w="2880"/>
          </w:tcPr>
          <w:p>
            <w:r>
              <w:t>Aksara</w:t>
            </w:r>
          </w:p>
        </w:tc>
        <w:tc>
          <w:tcPr>
            <w:tcW w:type="dxa" w:w="2880"/>
          </w:tcPr>
          <w:p>
            <w:r>
              <w:t>menjawab apakah sisa bias konstruksi bergerak</w:t>
            </w:r>
          </w:p>
        </w:tc>
      </w:tr>
      <w:tr>
        <w:tc>
          <w:tcPr>
            <w:tcW w:type="dxa" w:w="2880"/>
          </w:tcPr>
          <w:p>
            <w:r>
              <w:t>A-2 NF2FF di generator</w:t>
            </w:r>
          </w:p>
        </w:tc>
        <w:tc>
          <w:tcPr>
            <w:tcW w:type="dxa" w:w="2880"/>
          </w:tcPr>
          <w:p>
            <w:r>
              <w:t>Aksara</w:t>
            </w:r>
          </w:p>
        </w:tc>
        <w:tc>
          <w:tcPr>
            <w:tcW w:type="dxa" w:w="2880"/>
          </w:tcPr>
          <w:p>
            <w:r>
              <w:t>tanpa ini pola/gain dari solver tidak bisa diverifikasi</w:t>
            </w:r>
          </w:p>
        </w:tc>
      </w:tr>
      <w:tr>
        <w:tc>
          <w:tcPr>
            <w:tcW w:type="dxa" w:w="2880"/>
          </w:tcPr>
          <w:p>
            <w:r>
              <w:t>A-4 perbaiki klaim bila A-3 menolaknya</w:t>
            </w:r>
          </w:p>
        </w:tc>
        <w:tc>
          <w:tcPr>
            <w:tcW w:type="dxa" w:w="2880"/>
          </w:tcPr>
          <w:p>
            <w:r>
              <w:t>Aksara</w:t>
            </w:r>
          </w:p>
        </w:tc>
        <w:tc>
          <w:tcPr>
            <w:tcW w:type="dxa" w:w="2880"/>
          </w:tcPr>
          <w:p>
            <w:r>
              <w:t>klaim salah lebih berbahaya daripada tidak ada klaim</w:t>
            </w:r>
          </w:p>
        </w:tc>
      </w:tr>
      <w:tr>
        <w:tc>
          <w:tcPr>
            <w:tcW w:type="dxa" w:w="2880"/>
          </w:tcPr>
          <w:p>
            <w:r>
              <w:t>Y-6 validasi mixing rules</w:t>
            </w:r>
          </w:p>
        </w:tc>
        <w:tc>
          <w:tcPr>
            <w:tcW w:type="dxa" w:w="2880"/>
          </w:tcPr>
          <w:p>
            <w:r>
              <w:t>Yotta (butuh berkas)</w:t>
            </w:r>
          </w:p>
        </w:tc>
        <w:tc>
          <w:tcPr>
            <w:tcW w:type="dxa" w:w="2880"/>
          </w:tcPr>
          <w:p>
            <w:r>
              <w:t>satu-satunya klaim material yang belum punya acuan eksternal</w:t>
            </w:r>
          </w:p>
        </w:tc>
      </w:tr>
    </w:tbl>
    <w:p>
      <w:pPr>
        <w:pStyle w:val="Heading1"/>
      </w:pPr>
      <w:r>
        <w:t>5. Kalibrasi: yang sudah dieliminasi dan yang tersisa</w:t>
      </w:r>
    </w:p>
    <w:p>
      <w:pPr>
        <w:pStyle w:val="ListBullet"/>
      </w:pPr>
      <w:r>
        <w:t>Dieliminasi dengan data: kerapatan mesh (+0,9 % pada 8× sel), pembebanan feed (≤1,3 %), kedalaman PML/margin udara (−1,8 % — arah berlawanan), batas PML/MUR, domain besar, gradasi mesh (semuanya invarian pada −4,31 %).</w:t>
      </w:r>
    </w:p>
    <w:p>
      <w:pPr>
        <w:pStyle w:val="ListBullet"/>
      </w:pPr>
      <w:r>
        <w:t>Terukur sebagai penyebab: snapping tepi metal memulihkan separuh bias (−4,31 % → −2,26 % pada geometri tutorial).</w:t>
      </w:r>
    </w:p>
    <w:p>
      <w:pPr>
        <w:pStyle w:val="ListBullet"/>
      </w:pPr>
      <w:r>
        <w:t>Tersisa: −2,3 % (geometri tutorial) sampai −5,0 % (patch lebar PTFE) terhadap model cavity — jadi bias SISA masih bergantung geometri.</w:t>
      </w:r>
    </w:p>
    <w:p>
      <w:pPr>
        <w:pStyle w:val="ListBullet"/>
      </w:pPr>
      <w:r>
        <w:t>Kandidat berikutnya: tapak ground plane (uji masih berperancu), realisasi feed, penempatan garis mesh.</w:t>
      </w:r>
    </w:p>
    <w:p>
      <w:pPr>
        <w:pStyle w:val="Heading1"/>
      </w:pPr>
      <w:r>
        <w:t>6. Benchmark dan gate fabrikasi</w:t>
      </w:r>
    </w:p>
    <w:p>
      <w:pPr>
        <w:pStyle w:val="ListBullet"/>
      </w:pPr>
      <w:r>
        <w:t>Benchmark analitik B1–B10: semua lulus (isotropik, dipole pendek &amp; λ/2, patch Balanis Ex. 14.1, ΔL, koreksi narrow-line, null array, directivity 4×4, tanda tan δ, fit Debye).</w:t>
      </w:r>
    </w:p>
    <w:p>
      <w:pPr>
        <w:pStyle w:val="ListBullet"/>
      </w:pPr>
      <w:r>
        <w:t>Benchmark solver: baru 1 topologi (tutorial patch). Benchmark #2 diusulkan: waveguide TE10 dengan acuan EKSAK f_c = c/(2a) = 1499,0 MHz (a = 100 mm), toleransi 1 %.</w:t>
      </w:r>
    </w:p>
    <w:p>
      <w:pPr>
        <w:pStyle w:val="ListBullet"/>
      </w:pPr>
      <w:r>
        <w:t>Gate fabrikasi (8 kondisi): blocker hari ini adalah kondisi 2 (bias), 3 (feed), 4 (loss). Kesimpulan: angka solver = model output under test.</w:t>
      </w:r>
    </w:p>
    <w:p>
      <w:pPr>
        <w:pStyle w:val="Heading1"/>
      </w:pPr>
      <w:r>
        <w:t>7. Data yang diminta dari pemilik proyek (untuk Y-6)</w:t>
      </w:r>
    </w:p>
    <w:p>
      <w:r>
        <w:t>Tiga berkas prioritas (sisanya opsional). Yang dibutuhkan dari tiap berkas: εr filler, εr matriks yang dipakai penulis, vf, εr &amp; tan δ terukur, frekuensi.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Prioritas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Kata kunci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Subodh dkk. (2009), Appl. Phys. Lett. 95(6) 062903 — polyethylene/ceramic, 40 vol% → εr 12,1; tanδ 0,004 @8 GHz</w:t>
            </w:r>
          </w:p>
        </w:tc>
        <w:tc>
          <w:tcPr>
            <w:tcW w:type="dxa" w:w="2880"/>
          </w:tcPr>
          <w:p>
            <w:r>
              <w:t>Subodh 2009 Dielectric response high permittivity polymer ceramic composite 062903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Hu dkk. (2011) — PTFE/CaTiO₃, 50 vol% → εr 12; tanδ 8,5e-4 @10 GHz</w:t>
            </w:r>
          </w:p>
        </w:tc>
        <w:tc>
          <w:tcPr>
            <w:tcW w:type="dxa" w:w="2880"/>
          </w:tcPr>
          <w:p>
            <w:r>
              <w:t>PTFE CaTiO3 microwave dielectric properties Hu 2011 50 vol% permittivity 12 loss tangent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NIST — Broadband Dielectric Metrology for Polymer Composite Films (menyebut aturan pencampuran logaritmik)</w:t>
            </w:r>
          </w:p>
        </w:tc>
        <w:tc>
          <w:tcPr>
            <w:tcW w:type="dxa" w:w="2880"/>
          </w:tcPr>
          <w:p>
            <w:r>
              <w:t>NIST Broadband Dielectric Metrology for Polymer Composite Films logarithmic mixing rule</w:t>
            </w:r>
          </w:p>
        </w:tc>
      </w:tr>
    </w:tbl>
    <w:p>
      <w:r>
        <w:t>Bentuk kiriman cukup apa saja: PDF, tangkapan layar tabelnya, atau angka yang diketik + sitasi.</w:t>
      </w:r>
    </w:p>
    <w:p>
      <w:pPr>
        <w:pStyle w:val="Heading1"/>
      </w:pPr>
      <w:r>
        <w:t>8. Sudah dihitung lebih dulu: analisis inversi</w:t>
      </w:r>
    </w:p>
    <w:p>
      <w:r>
        <w:t>Untuk C1 dan C2 saya balik pertanyaannya — εr filler berapa yang dibutuhkan tiap model agar cocok dengan pengukuran: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Εr filler yang dibutuhkan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Lichtenecker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Maxwell-Garnett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Bruggeman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Batas Wiener</w:t>
            </w:r>
          </w:p>
        </w:tc>
      </w:tr>
      <w:tr>
        <w:tc>
          <w:tcPr>
            <w:tcW w:type="dxa" w:w="1728"/>
          </w:tcPr>
          <w:p>
            <w:r>
              <w:t>C1: vf 0,50; terukur 12</w:t>
            </w:r>
          </w:p>
        </w:tc>
        <w:tc>
          <w:tcPr>
            <w:tcW w:type="dxa" w:w="1728"/>
          </w:tcPr>
          <w:p>
            <w:r>
              <w:t>68,6</w:t>
            </w:r>
          </w:p>
        </w:tc>
        <w:tc>
          <w:tcPr>
            <w:tcW w:type="dxa" w:w="1728"/>
          </w:tcPr>
          <w:p>
            <w:r>
              <w:t>tanpa solusi (MG jenuh ≈ 8,4)</w:t>
            </w:r>
          </w:p>
        </w:tc>
        <w:tc>
          <w:tcPr>
            <w:tcW w:type="dxa" w:w="1728"/>
          </w:tcPr>
          <w:p>
            <w:r>
              <w:t>34,0</w:t>
            </w:r>
          </w:p>
        </w:tc>
        <w:tc>
          <w:tcPr>
            <w:tcW w:type="dxa" w:w="1728"/>
          </w:tcPr>
          <w:p>
            <w:r>
              <w:t>≥ 21,9</w:t>
            </w:r>
          </w:p>
        </w:tc>
      </w:tr>
      <w:tr>
        <w:tc>
          <w:tcPr>
            <w:tcW w:type="dxa" w:w="1728"/>
          </w:tcPr>
          <w:p>
            <w:r>
              <w:t>C2: vf 0,46; terukur 7,42</w:t>
            </w:r>
          </w:p>
        </w:tc>
        <w:tc>
          <w:tcPr>
            <w:tcW w:type="dxa" w:w="1728"/>
          </w:tcPr>
          <w:p>
            <w:r>
              <w:t>32,7</w:t>
            </w:r>
          </w:p>
        </w:tc>
        <w:tc>
          <w:tcPr>
            <w:tcW w:type="dxa" w:w="1728"/>
          </w:tcPr>
          <w:p>
            <w:r>
              <w:t>1332</w:t>
            </w:r>
          </w:p>
        </w:tc>
        <w:tc>
          <w:tcPr>
            <w:tcW w:type="dxa" w:w="1728"/>
          </w:tcPr>
          <w:p>
            <w:r>
              <w:t>20,4</w:t>
            </w:r>
          </w:p>
        </w:tc>
        <w:tc>
          <w:tcPr>
            <w:tcW w:type="dxa" w:w="1728"/>
          </w:tcPr>
          <w:p>
            <w:r>
              <w:t>≥ 13,7</w:t>
            </w:r>
          </w:p>
        </w:tc>
      </w:tr>
    </w:tbl>
    <w:p>
      <w:r>
        <w:t>Artinya: satu pengukuran menyiratkan εr filler berbeda 2–40× antar model (keluaran jujur = pita, bukan satu angka), dan C1 berada di luar jangkauan Maxwell-Garnett — tanda khas aglomerasi.</w:t>
      </w:r>
    </w:p>
    <w:p>
      <w:pPr>
        <w:pStyle w:val="Heading1"/>
      </w:pPr>
      <w:r>
        <w:t>9. Aturan kerja yang berlaku</w:t>
      </w:r>
    </w:p>
    <w:p>
      <w:pPr>
        <w:pStyle w:val="ListBullet"/>
      </w:pPr>
      <w:r>
        <w:t>Selalu sinkronkan dengan GitHub sebelum mulai bekerja; setiap perubahan di-commit dan di-push.</w:t>
      </w:r>
    </w:p>
    <w:p>
      <w:pPr>
        <w:pStyle w:val="ListBullet"/>
      </w:pPr>
      <w:r>
        <w:t>Status hanya disebut “terverifikasi” setelah ada bukti yang bisa direproduksi (perintah + keluaran, atau test yang gagal bila perilakunya dirusak).</w:t>
      </w:r>
    </w:p>
    <w:p>
      <w:pPr>
        <w:pStyle w:val="ListBullet"/>
      </w:pPr>
      <w:r>
        <w:t>Dalam satu tabel, acuan harus sejenis; setiap run menyertakan jumlah langkah + status konvergen; hipotesis yang gugur ditulis “gugur”, bukan dihapus.</w:t>
      </w:r>
    </w:p>
    <w:p>
      <w:pPr>
        <w:pStyle w:val="ListBullet"/>
      </w:pPr>
      <w:r>
        <w:t>Pembagian: Aksara menerapkan di paket + menjalankan solver; Yotta memverifikasi, menganalisis, dan menyediakan alat di yotta_tools/.</w:t>
      </w:r>
    </w:p>
    <w:p>
      <w:pPr>
        <w:pStyle w:val="Heading1"/>
      </w:pPr>
      <w:r>
        <w:t>10. Berkas rujukan di repo</w:t>
      </w:r>
    </w:p>
    <w:p>
      <w:pPr>
        <w:pStyle w:val="ListBullet"/>
      </w:pPr>
      <w:r>
        <w:t>yottakomen.md — seluruh riwayat telaah, evaluasi, dan putaran kerja (source of truth).</w:t>
      </w:r>
    </w:p>
    <w:p>
      <w:pPr>
        <w:pStyle w:val="ListBullet"/>
      </w:pPr>
      <w:r>
        <w:t>aksarakomen.md — catatan pengembang (Aksara).</w:t>
      </w:r>
    </w:p>
    <w:p>
      <w:pPr>
        <w:pStyle w:val="ListBullet"/>
      </w:pPr>
      <w:r>
        <w:t>tugas.md — papan tugas bersama dengan status dan kriteria selesai.</w:t>
      </w:r>
    </w:p>
    <w:p>
      <w:pPr>
        <w:pStyle w:val="ListBullet"/>
      </w:pPr>
      <w:r>
        <w:t>geminikomen.md — masukan pihak ketiga (Gemini) + penilaian.</w:t>
      </w:r>
    </w:p>
    <w:p>
      <w:pPr>
        <w:pStyle w:val="ListBullet"/>
      </w:pPr>
      <w:r>
        <w:t>docs/benchmarks.md, docs/fabrication-gate.md, docs/experiment-port-refine.md.</w:t>
      </w:r>
    </w:p>
    <w:p>
      <w:pPr>
        <w:pStyle w:val="ListBullet"/>
      </w:pPr>
      <w:r>
        <w:t>data/composite_measurements_candidates.md — kandidat data + kata kunci pencarian.</w:t>
      </w:r>
    </w:p>
    <w:p>
      <w:pPr>
        <w:pStyle w:val="ListBullet"/>
      </w:pPr>
      <w:r>
        <w:t>yotta_tools/ — mixing_validation.py, cavity_check.py, reference_table.py.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