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093"/>
        <w:gridCol w:w="5362"/>
        <w:gridCol w:w="2292"/>
      </w:tblGrid>
      <w:tr w:rsidR="00B727E1" w:rsidRPr="005C03E5" w:rsidTr="00B727E1"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E52FE" w:rsidRPr="005C03E5" w:rsidRDefault="006E52FE" w:rsidP="00BF06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3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E52FE" w:rsidRPr="005C03E5" w:rsidRDefault="006E52FE" w:rsidP="00BF0699">
            <w:pPr>
              <w:rPr>
                <w:b/>
                <w:sz w:val="20"/>
                <w:szCs w:val="20"/>
              </w:rPr>
            </w:pPr>
            <w:r w:rsidRPr="005C03E5">
              <w:rPr>
                <w:b/>
                <w:sz w:val="20"/>
                <w:szCs w:val="20"/>
              </w:rPr>
              <w:t>Detected Component</w:t>
            </w:r>
          </w:p>
        </w:tc>
        <w:tc>
          <w:tcPr>
            <w:tcW w:w="22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2FE" w:rsidRPr="005C03E5" w:rsidRDefault="006E52FE" w:rsidP="00BF0699">
            <w:pPr>
              <w:jc w:val="center"/>
              <w:rPr>
                <w:b/>
                <w:sz w:val="20"/>
                <w:szCs w:val="20"/>
              </w:rPr>
            </w:pPr>
            <w:r w:rsidRPr="005C03E5">
              <w:rPr>
                <w:b/>
                <w:sz w:val="20"/>
                <w:szCs w:val="20"/>
              </w:rPr>
              <w:t>Matching Percentage</w:t>
            </w:r>
          </w:p>
        </w:tc>
      </w:tr>
      <w:tr w:rsidR="00B727E1" w:rsidRPr="005C03E5" w:rsidTr="00B727E1">
        <w:tc>
          <w:tcPr>
            <w:tcW w:w="20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E52FE" w:rsidRPr="005C03E5" w:rsidRDefault="006E52FE" w:rsidP="006E52FE">
            <w:pPr>
              <w:rPr>
                <w:b/>
                <w:sz w:val="20"/>
                <w:szCs w:val="20"/>
              </w:rPr>
            </w:pPr>
            <w:proofErr w:type="spellStart"/>
            <w:r w:rsidRPr="005C03E5">
              <w:rPr>
                <w:b/>
                <w:sz w:val="20"/>
                <w:szCs w:val="20"/>
              </w:rPr>
              <w:t>InterPro</w:t>
            </w:r>
            <w:proofErr w:type="spellEnd"/>
            <w:r w:rsidRPr="005C03E5">
              <w:rPr>
                <w:b/>
                <w:sz w:val="20"/>
                <w:szCs w:val="20"/>
              </w:rPr>
              <w:t>-Domains</w:t>
            </w:r>
          </w:p>
        </w:tc>
        <w:tc>
          <w:tcPr>
            <w:tcW w:w="5362" w:type="dxa"/>
            <w:tcBorders>
              <w:top w:val="single" w:sz="12" w:space="0" w:color="auto"/>
              <w:left w:val="single" w:sz="12" w:space="0" w:color="auto"/>
            </w:tcBorders>
          </w:tcPr>
          <w:p w:rsidR="006E52FE" w:rsidRPr="005C03E5" w:rsidRDefault="006E52FE" w:rsidP="00D106A7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Chemokine receptor family</w:t>
            </w:r>
          </w:p>
        </w:tc>
        <w:tc>
          <w:tcPr>
            <w:tcW w:w="2292" w:type="dxa"/>
            <w:tcBorders>
              <w:top w:val="single" w:sz="12" w:space="0" w:color="auto"/>
              <w:right w:val="single" w:sz="12" w:space="0" w:color="auto"/>
            </w:tcBorders>
          </w:tcPr>
          <w:p w:rsidR="006E52FE" w:rsidRPr="005C03E5" w:rsidRDefault="00D106A7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100%</w:t>
            </w:r>
          </w:p>
        </w:tc>
      </w:tr>
      <w:tr w:rsidR="00B727E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8741A" w:rsidRPr="005C03E5" w:rsidRDefault="00E8741A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E8741A" w:rsidRPr="005C03E5" w:rsidRDefault="00E8741A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G protein-coupled receptor, rhodopsin-like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E8741A" w:rsidRPr="005C03E5" w:rsidRDefault="00E8741A" w:rsidP="00C22004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100%</w:t>
            </w:r>
          </w:p>
        </w:tc>
      </w:tr>
      <w:tr w:rsidR="00B727E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8741A" w:rsidRPr="005C03E5" w:rsidRDefault="00E8741A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E8741A" w:rsidRPr="005C03E5" w:rsidRDefault="00E8741A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GPCR, rhodopsin-like, 7TM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E8741A" w:rsidRPr="005C03E5" w:rsidRDefault="00E8741A" w:rsidP="00C22004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100%</w:t>
            </w:r>
          </w:p>
        </w:tc>
      </w:tr>
      <w:tr w:rsidR="00B727E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E52FE" w:rsidRPr="005C03E5" w:rsidRDefault="006E52FE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6E52FE" w:rsidRPr="005C03E5" w:rsidRDefault="00502D4A" w:rsidP="00502D4A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BLC2 family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6E52FE" w:rsidRPr="005C03E5" w:rsidRDefault="00502D4A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83.3%</w:t>
            </w:r>
          </w:p>
        </w:tc>
      </w:tr>
      <w:tr w:rsidR="00B727E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E52FE" w:rsidRPr="005C03E5" w:rsidRDefault="006E52FE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6E52FE" w:rsidRPr="005C03E5" w:rsidRDefault="00AA5ACB" w:rsidP="00AA5ACB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BLC2-like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6E52FE" w:rsidRPr="005C03E5" w:rsidRDefault="00AA5ACB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83.3%</w:t>
            </w:r>
          </w:p>
        </w:tc>
      </w:tr>
      <w:tr w:rsidR="00B727E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E52FE" w:rsidRPr="005C03E5" w:rsidRDefault="006E52FE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6E52FE" w:rsidRPr="005C03E5" w:rsidRDefault="00F061C9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Death effector domain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6E52FE" w:rsidRPr="005C03E5" w:rsidRDefault="00994EF7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66.7%</w:t>
            </w:r>
          </w:p>
        </w:tc>
      </w:tr>
      <w:tr w:rsidR="00B727E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E52FE" w:rsidRPr="005C03E5" w:rsidRDefault="006E52FE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6E52FE" w:rsidRPr="005C03E5" w:rsidRDefault="00994EF7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Interleukin-6 receptor alpha, binding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6E52FE" w:rsidRPr="005C03E5" w:rsidRDefault="00994EF7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50%</w:t>
            </w:r>
          </w:p>
        </w:tc>
        <w:bookmarkStart w:id="0" w:name="_GoBack"/>
        <w:bookmarkEnd w:id="0"/>
      </w:tr>
      <w:tr w:rsidR="00B727E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E52FE" w:rsidRPr="005C03E5" w:rsidRDefault="006E52FE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6E52FE" w:rsidRPr="005C03E5" w:rsidRDefault="00994EF7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Death domain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6E52FE" w:rsidRPr="005C03E5" w:rsidRDefault="00994EF7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100%</w:t>
            </w:r>
          </w:p>
        </w:tc>
      </w:tr>
      <w:tr w:rsidR="00B727E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E52FE" w:rsidRPr="005C03E5" w:rsidRDefault="006E52FE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6E52FE" w:rsidRPr="005C03E5" w:rsidRDefault="00994EF7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Apoptosis regulator, Bcl-2, BH2 motif, conserved site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6E52FE" w:rsidRPr="005C03E5" w:rsidRDefault="00994EF7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75%</w:t>
            </w:r>
          </w:p>
        </w:tc>
      </w:tr>
      <w:tr w:rsidR="00B727E1" w:rsidRPr="005C03E5" w:rsidTr="00B727E1">
        <w:tc>
          <w:tcPr>
            <w:tcW w:w="20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52FE" w:rsidRPr="005C03E5" w:rsidRDefault="006E52FE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  <w:bottom w:val="single" w:sz="12" w:space="0" w:color="auto"/>
            </w:tcBorders>
          </w:tcPr>
          <w:p w:rsidR="006E52FE" w:rsidRPr="005C03E5" w:rsidRDefault="00E8741A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Chemokine interleukin-8-like domain</w:t>
            </w:r>
          </w:p>
        </w:tc>
        <w:tc>
          <w:tcPr>
            <w:tcW w:w="2292" w:type="dxa"/>
            <w:tcBorders>
              <w:bottom w:val="single" w:sz="12" w:space="0" w:color="auto"/>
              <w:right w:val="single" w:sz="12" w:space="0" w:color="auto"/>
            </w:tcBorders>
          </w:tcPr>
          <w:p w:rsidR="006E52FE" w:rsidRPr="005C03E5" w:rsidRDefault="00E8741A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60%</w:t>
            </w:r>
          </w:p>
        </w:tc>
      </w:tr>
      <w:tr w:rsidR="005203BD" w:rsidRPr="005C03E5" w:rsidTr="00B727E1">
        <w:tc>
          <w:tcPr>
            <w:tcW w:w="20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203BD" w:rsidRPr="005C03E5" w:rsidRDefault="005203BD" w:rsidP="007667BD">
            <w:pPr>
              <w:rPr>
                <w:sz w:val="20"/>
                <w:szCs w:val="20"/>
              </w:rPr>
            </w:pPr>
            <w:r w:rsidRPr="005C03E5">
              <w:rPr>
                <w:b/>
                <w:sz w:val="20"/>
                <w:szCs w:val="20"/>
              </w:rPr>
              <w:t>KEGG Pathway</w:t>
            </w:r>
          </w:p>
        </w:tc>
        <w:tc>
          <w:tcPr>
            <w:tcW w:w="5362" w:type="dxa"/>
            <w:tcBorders>
              <w:top w:val="single" w:sz="12" w:space="0" w:color="auto"/>
              <w:lef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Chemokine signaling pathway</w:t>
            </w:r>
          </w:p>
        </w:tc>
        <w:tc>
          <w:tcPr>
            <w:tcW w:w="2292" w:type="dxa"/>
            <w:tcBorders>
              <w:top w:val="single" w:sz="12" w:space="0" w:color="auto"/>
              <w:right w:val="single" w:sz="12" w:space="0" w:color="auto"/>
            </w:tcBorders>
          </w:tcPr>
          <w:p w:rsidR="005203BD" w:rsidRPr="005C03E5" w:rsidRDefault="005203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40%</w:t>
            </w:r>
          </w:p>
        </w:tc>
      </w:tr>
      <w:tr w:rsidR="005203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Cytokine-cytokine receptor interaction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5203BD" w:rsidRPr="005C03E5" w:rsidRDefault="005203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32.8%</w:t>
            </w:r>
          </w:p>
        </w:tc>
      </w:tr>
      <w:tr w:rsidR="005203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NOD-like receptor signaling pathway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5203BD" w:rsidRPr="005C03E5" w:rsidRDefault="005203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31.3%</w:t>
            </w:r>
          </w:p>
        </w:tc>
      </w:tr>
      <w:tr w:rsidR="005203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Apoptosis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5203BD" w:rsidRPr="005C03E5" w:rsidRDefault="005203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34.4%</w:t>
            </w:r>
          </w:p>
        </w:tc>
      </w:tr>
      <w:tr w:rsidR="005203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Autoimmune thyroid disease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5203BD" w:rsidRPr="005C03E5" w:rsidRDefault="005203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71.4%</w:t>
            </w:r>
          </w:p>
        </w:tc>
      </w:tr>
      <w:tr w:rsidR="005203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Huntington's disease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5203BD" w:rsidRPr="005C03E5" w:rsidRDefault="005203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66.7%</w:t>
            </w:r>
          </w:p>
        </w:tc>
      </w:tr>
      <w:tr w:rsidR="005203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Systemic lupus erythematosus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5203BD" w:rsidRPr="005C03E5" w:rsidRDefault="005203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40%</w:t>
            </w:r>
          </w:p>
        </w:tc>
      </w:tr>
      <w:tr w:rsidR="005203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Asthma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5203BD" w:rsidRPr="005C03E5" w:rsidRDefault="005203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50%</w:t>
            </w:r>
          </w:p>
        </w:tc>
      </w:tr>
      <w:tr w:rsidR="005203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Intestinal immune network for IgA production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5203BD" w:rsidRPr="005C03E5" w:rsidRDefault="005203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25%</w:t>
            </w:r>
          </w:p>
        </w:tc>
      </w:tr>
      <w:tr w:rsidR="005203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Cell adhesion molecules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5203BD" w:rsidRPr="005C03E5" w:rsidRDefault="005203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50%</w:t>
            </w:r>
          </w:p>
        </w:tc>
      </w:tr>
      <w:tr w:rsidR="005203BD" w:rsidRPr="005C03E5" w:rsidTr="00B727E1">
        <w:tc>
          <w:tcPr>
            <w:tcW w:w="20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  <w:bottom w:val="single" w:sz="12" w:space="0" w:color="auto"/>
            </w:tcBorders>
          </w:tcPr>
          <w:p w:rsidR="005203BD" w:rsidRPr="005C03E5" w:rsidRDefault="005203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Pathways in cancer</w:t>
            </w:r>
          </w:p>
        </w:tc>
        <w:tc>
          <w:tcPr>
            <w:tcW w:w="2292" w:type="dxa"/>
            <w:tcBorders>
              <w:bottom w:val="single" w:sz="12" w:space="0" w:color="auto"/>
              <w:right w:val="single" w:sz="12" w:space="0" w:color="auto"/>
            </w:tcBorders>
          </w:tcPr>
          <w:p w:rsidR="005203BD" w:rsidRPr="005C03E5" w:rsidRDefault="005203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70%</w:t>
            </w:r>
          </w:p>
        </w:tc>
      </w:tr>
      <w:tr w:rsidR="00DE039F" w:rsidRPr="005C03E5" w:rsidTr="00B727E1">
        <w:tc>
          <w:tcPr>
            <w:tcW w:w="20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039F" w:rsidRPr="005C03E5" w:rsidRDefault="00DE039F" w:rsidP="00DE039F">
            <w:pPr>
              <w:rPr>
                <w:sz w:val="20"/>
                <w:szCs w:val="20"/>
              </w:rPr>
            </w:pPr>
            <w:r w:rsidRPr="005C03E5">
              <w:rPr>
                <w:b/>
                <w:sz w:val="20"/>
                <w:szCs w:val="20"/>
              </w:rPr>
              <w:t>Molecular Function</w:t>
            </w:r>
          </w:p>
        </w:tc>
        <w:tc>
          <w:tcPr>
            <w:tcW w:w="5362" w:type="dxa"/>
            <w:tcBorders>
              <w:top w:val="single" w:sz="12" w:space="0" w:color="auto"/>
              <w:lef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Peptide receptor activity</w:t>
            </w:r>
          </w:p>
        </w:tc>
        <w:tc>
          <w:tcPr>
            <w:tcW w:w="2292" w:type="dxa"/>
            <w:tcBorders>
              <w:top w:val="single" w:sz="12" w:space="0" w:color="auto"/>
              <w:right w:val="single" w:sz="12" w:space="0" w:color="auto"/>
            </w:tcBorders>
          </w:tcPr>
          <w:p w:rsidR="00DE039F" w:rsidRPr="005C03E5" w:rsidRDefault="00DE039F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58.3%</w:t>
            </w:r>
          </w:p>
        </w:tc>
      </w:tr>
      <w:tr w:rsidR="00DE039F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Receptor activity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DE039F" w:rsidRPr="005C03E5" w:rsidRDefault="00DE039F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52.2%</w:t>
            </w:r>
          </w:p>
        </w:tc>
      </w:tr>
      <w:tr w:rsidR="00DE039F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Growth factor activity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DE039F" w:rsidRPr="005C03E5" w:rsidRDefault="00DE039F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60%</w:t>
            </w:r>
          </w:p>
        </w:tc>
      </w:tr>
      <w:tr w:rsidR="00DE039F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C-C chemokine binding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DE039F" w:rsidRPr="005C03E5" w:rsidRDefault="00DE039F" w:rsidP="00DE039F">
            <w:pPr>
              <w:tabs>
                <w:tab w:val="left" w:pos="747"/>
                <w:tab w:val="center" w:pos="1026"/>
              </w:tabs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ab/>
            </w:r>
            <w:r w:rsidRPr="005C03E5">
              <w:rPr>
                <w:sz w:val="20"/>
                <w:szCs w:val="20"/>
              </w:rPr>
              <w:tab/>
              <w:t>66.7%</w:t>
            </w:r>
          </w:p>
        </w:tc>
      </w:tr>
      <w:tr w:rsidR="00DE039F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Tumor necrosis factor receptor superfamily binding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DE039F" w:rsidRPr="005C03E5" w:rsidRDefault="00DE039F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40%</w:t>
            </w:r>
          </w:p>
        </w:tc>
      </w:tr>
      <w:tr w:rsidR="00DE039F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Death effector domain binding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DE039F" w:rsidRPr="005C03E5" w:rsidRDefault="00DE039F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66.7%</w:t>
            </w:r>
          </w:p>
        </w:tc>
      </w:tr>
      <w:tr w:rsidR="00DE039F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Growth factor binding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DE039F" w:rsidRPr="005C03E5" w:rsidRDefault="00DE039F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50%</w:t>
            </w:r>
          </w:p>
        </w:tc>
      </w:tr>
      <w:tr w:rsidR="00DE039F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Nucleic acid binding transcription factor activity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DE039F" w:rsidRPr="005C03E5" w:rsidRDefault="00DE039F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75%</w:t>
            </w:r>
          </w:p>
        </w:tc>
      </w:tr>
      <w:tr w:rsidR="00DE039F" w:rsidRPr="005C03E5" w:rsidTr="00B727E1">
        <w:tc>
          <w:tcPr>
            <w:tcW w:w="20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  <w:bottom w:val="single" w:sz="12" w:space="0" w:color="auto"/>
            </w:tcBorders>
          </w:tcPr>
          <w:p w:rsidR="00DE039F" w:rsidRPr="005C03E5" w:rsidRDefault="00DE039F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Chemokine activity</w:t>
            </w:r>
          </w:p>
        </w:tc>
        <w:tc>
          <w:tcPr>
            <w:tcW w:w="2292" w:type="dxa"/>
            <w:tcBorders>
              <w:bottom w:val="single" w:sz="12" w:space="0" w:color="auto"/>
              <w:right w:val="single" w:sz="12" w:space="0" w:color="auto"/>
            </w:tcBorders>
          </w:tcPr>
          <w:p w:rsidR="00DE039F" w:rsidRPr="005C03E5" w:rsidRDefault="00DE039F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77.8%</w:t>
            </w:r>
          </w:p>
        </w:tc>
      </w:tr>
      <w:tr w:rsidR="008D7DC1" w:rsidRPr="005C03E5" w:rsidTr="00B727E1">
        <w:tc>
          <w:tcPr>
            <w:tcW w:w="20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7DC1" w:rsidRPr="005C03E5" w:rsidRDefault="008D7DC1" w:rsidP="008D7DC1">
            <w:pPr>
              <w:rPr>
                <w:b/>
                <w:sz w:val="20"/>
                <w:szCs w:val="20"/>
              </w:rPr>
            </w:pPr>
            <w:proofErr w:type="spellStart"/>
            <w:r w:rsidRPr="005C03E5">
              <w:rPr>
                <w:b/>
                <w:sz w:val="20"/>
                <w:szCs w:val="20"/>
              </w:rPr>
              <w:t>Pfam</w:t>
            </w:r>
            <w:proofErr w:type="spellEnd"/>
            <w:r w:rsidRPr="005C03E5">
              <w:rPr>
                <w:b/>
                <w:sz w:val="20"/>
                <w:szCs w:val="20"/>
              </w:rPr>
              <w:t xml:space="preserve"> Domains</w:t>
            </w:r>
          </w:p>
        </w:tc>
        <w:tc>
          <w:tcPr>
            <w:tcW w:w="5362" w:type="dxa"/>
            <w:tcBorders>
              <w:top w:val="single" w:sz="12" w:space="0" w:color="auto"/>
              <w:left w:val="single" w:sz="12" w:space="0" w:color="auto"/>
            </w:tcBorders>
          </w:tcPr>
          <w:p w:rsidR="008D7DC1" w:rsidRPr="005C03E5" w:rsidRDefault="008D7DC1" w:rsidP="00B123B3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7 transmembrane receptor, rhodopsin family</w:t>
            </w:r>
          </w:p>
        </w:tc>
        <w:tc>
          <w:tcPr>
            <w:tcW w:w="2292" w:type="dxa"/>
            <w:tcBorders>
              <w:top w:val="single" w:sz="12" w:space="0" w:color="auto"/>
              <w:right w:val="single" w:sz="12" w:space="0" w:color="auto"/>
            </w:tcBorders>
          </w:tcPr>
          <w:p w:rsidR="008D7DC1" w:rsidRPr="005C03E5" w:rsidRDefault="008D7DC1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100%</w:t>
            </w:r>
          </w:p>
        </w:tc>
      </w:tr>
      <w:tr w:rsidR="008D7DC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D7DC1" w:rsidRPr="005C03E5" w:rsidRDefault="008D7DC1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8D7DC1" w:rsidRPr="005C03E5" w:rsidRDefault="008D7DC1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Apoptosis regulator proteins, Bcl-2 family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8D7DC1" w:rsidRPr="005C03E5" w:rsidRDefault="008D7DC1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83</w:t>
            </w:r>
            <w:r w:rsidR="00641222" w:rsidRPr="005C03E5">
              <w:rPr>
                <w:sz w:val="20"/>
                <w:szCs w:val="20"/>
              </w:rPr>
              <w:t>.3</w:t>
            </w:r>
            <w:r w:rsidRPr="005C03E5">
              <w:rPr>
                <w:sz w:val="20"/>
                <w:szCs w:val="20"/>
              </w:rPr>
              <w:t>%</w:t>
            </w:r>
          </w:p>
        </w:tc>
      </w:tr>
      <w:tr w:rsidR="008D7DC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D7DC1" w:rsidRPr="005C03E5" w:rsidRDefault="008D7DC1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8D7DC1" w:rsidRPr="005C03E5" w:rsidRDefault="008D7DC1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Death effector domain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8D7DC1" w:rsidRPr="005C03E5" w:rsidRDefault="008D7DC1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66.7%</w:t>
            </w:r>
          </w:p>
        </w:tc>
      </w:tr>
      <w:tr w:rsidR="008D7DC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D7DC1" w:rsidRPr="005C03E5" w:rsidRDefault="008D7DC1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8D7DC1" w:rsidRPr="005C03E5" w:rsidRDefault="008D7DC1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Interleukin-6 receptor alpha chain, binding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8D7DC1" w:rsidRPr="005C03E5" w:rsidRDefault="008D7DC1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50%</w:t>
            </w:r>
          </w:p>
        </w:tc>
      </w:tr>
      <w:tr w:rsidR="008D7DC1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D7DC1" w:rsidRPr="005C03E5" w:rsidRDefault="008D7DC1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8D7DC1" w:rsidRPr="005C03E5" w:rsidRDefault="008D7DC1" w:rsidP="007D4867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Small cytokines (</w:t>
            </w:r>
            <w:proofErr w:type="spellStart"/>
            <w:r w:rsidRPr="005C03E5">
              <w:rPr>
                <w:sz w:val="20"/>
                <w:szCs w:val="20"/>
              </w:rPr>
              <w:t>intecrine</w:t>
            </w:r>
            <w:proofErr w:type="spellEnd"/>
            <w:r w:rsidRPr="005C03E5">
              <w:rPr>
                <w:sz w:val="20"/>
                <w:szCs w:val="20"/>
              </w:rPr>
              <w:t>/chemokine), interleukin-8 like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8D7DC1" w:rsidRPr="005C03E5" w:rsidRDefault="008D7DC1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53.3%</w:t>
            </w:r>
          </w:p>
        </w:tc>
      </w:tr>
      <w:tr w:rsidR="008D7DC1" w:rsidRPr="005C03E5" w:rsidTr="00B727E1">
        <w:tc>
          <w:tcPr>
            <w:tcW w:w="20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7DC1" w:rsidRPr="005C03E5" w:rsidRDefault="008D7DC1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  <w:bottom w:val="single" w:sz="12" w:space="0" w:color="auto"/>
            </w:tcBorders>
          </w:tcPr>
          <w:p w:rsidR="008D7DC1" w:rsidRPr="005C03E5" w:rsidRDefault="008D7DC1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Death domain</w:t>
            </w:r>
          </w:p>
        </w:tc>
        <w:tc>
          <w:tcPr>
            <w:tcW w:w="2292" w:type="dxa"/>
            <w:tcBorders>
              <w:bottom w:val="single" w:sz="12" w:space="0" w:color="auto"/>
              <w:right w:val="single" w:sz="12" w:space="0" w:color="auto"/>
            </w:tcBorders>
          </w:tcPr>
          <w:p w:rsidR="008D7DC1" w:rsidRPr="005C03E5" w:rsidRDefault="008D7DC1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100%</w:t>
            </w:r>
          </w:p>
        </w:tc>
      </w:tr>
      <w:tr w:rsidR="00A300BD" w:rsidRPr="005C03E5" w:rsidTr="00B727E1">
        <w:tc>
          <w:tcPr>
            <w:tcW w:w="20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300BD" w:rsidRPr="005C03E5" w:rsidRDefault="00A300BD" w:rsidP="00A300BD">
            <w:pPr>
              <w:rPr>
                <w:sz w:val="20"/>
                <w:szCs w:val="20"/>
              </w:rPr>
            </w:pPr>
            <w:proofErr w:type="spellStart"/>
            <w:r w:rsidRPr="005C03E5">
              <w:rPr>
                <w:b/>
                <w:sz w:val="20"/>
                <w:szCs w:val="20"/>
              </w:rPr>
              <w:t>Reactome</w:t>
            </w:r>
            <w:proofErr w:type="spellEnd"/>
            <w:r w:rsidRPr="005C03E5">
              <w:rPr>
                <w:b/>
                <w:sz w:val="20"/>
                <w:szCs w:val="20"/>
              </w:rPr>
              <w:t xml:space="preserve"> Pathway</w:t>
            </w:r>
          </w:p>
        </w:tc>
        <w:tc>
          <w:tcPr>
            <w:tcW w:w="5362" w:type="dxa"/>
            <w:tcBorders>
              <w:top w:val="single" w:sz="12" w:space="0" w:color="auto"/>
              <w:lef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Activation of DNA fragmentation factor</w:t>
            </w:r>
          </w:p>
        </w:tc>
        <w:tc>
          <w:tcPr>
            <w:tcW w:w="2292" w:type="dxa"/>
            <w:tcBorders>
              <w:top w:val="single" w:sz="12" w:space="0" w:color="auto"/>
              <w:right w:val="single" w:sz="12" w:space="0" w:color="auto"/>
            </w:tcBorders>
          </w:tcPr>
          <w:p w:rsidR="00A300BD" w:rsidRPr="005C03E5" w:rsidRDefault="00A300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66.7%</w:t>
            </w:r>
          </w:p>
        </w:tc>
      </w:tr>
      <w:tr w:rsidR="00A300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Interleukin-1 family precursors are cleaved by caspase-1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A300BD" w:rsidRPr="005C03E5" w:rsidRDefault="00A300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100%</w:t>
            </w:r>
          </w:p>
        </w:tc>
      </w:tr>
      <w:tr w:rsidR="00A300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Downstream TCR signaling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A300BD" w:rsidRPr="005C03E5" w:rsidRDefault="00A300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100%</w:t>
            </w:r>
          </w:p>
        </w:tc>
      </w:tr>
      <w:tr w:rsidR="00A300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  <w:proofErr w:type="spellStart"/>
            <w:r w:rsidRPr="005C03E5">
              <w:rPr>
                <w:sz w:val="20"/>
                <w:szCs w:val="20"/>
              </w:rPr>
              <w:t>FasL</w:t>
            </w:r>
            <w:proofErr w:type="spellEnd"/>
            <w:r w:rsidRPr="005C03E5">
              <w:rPr>
                <w:sz w:val="20"/>
                <w:szCs w:val="20"/>
              </w:rPr>
              <w:t>/CD95L signaling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A300BD" w:rsidRPr="005C03E5" w:rsidRDefault="00A300BD" w:rsidP="00C22004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100%</w:t>
            </w:r>
          </w:p>
        </w:tc>
      </w:tr>
      <w:tr w:rsidR="00A300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Exocytosis of platelet alpha granule contents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A300BD" w:rsidRPr="005C03E5" w:rsidRDefault="00A300BD" w:rsidP="00C22004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100%</w:t>
            </w:r>
          </w:p>
        </w:tc>
      </w:tr>
      <w:tr w:rsidR="00A300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 xml:space="preserve">IRAK4 is activated by </w:t>
            </w:r>
            <w:proofErr w:type="spellStart"/>
            <w:r w:rsidRPr="005C03E5">
              <w:rPr>
                <w:sz w:val="20"/>
                <w:szCs w:val="20"/>
              </w:rPr>
              <w:t>autophosphorylation</w:t>
            </w:r>
            <w:proofErr w:type="spellEnd"/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A300BD" w:rsidRPr="005C03E5" w:rsidRDefault="00A300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75%</w:t>
            </w:r>
          </w:p>
        </w:tc>
      </w:tr>
      <w:tr w:rsidR="00A300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 xml:space="preserve">Beta </w:t>
            </w:r>
            <w:proofErr w:type="spellStart"/>
            <w:r w:rsidRPr="005C03E5">
              <w:rPr>
                <w:sz w:val="20"/>
                <w:szCs w:val="20"/>
              </w:rPr>
              <w:t>defensins</w:t>
            </w:r>
            <w:proofErr w:type="spellEnd"/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A300BD" w:rsidRPr="005C03E5" w:rsidRDefault="00A300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66.7%</w:t>
            </w:r>
          </w:p>
        </w:tc>
      </w:tr>
      <w:tr w:rsidR="00A300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TRAIL  signaling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A300BD" w:rsidRPr="005C03E5" w:rsidRDefault="00A300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66.7%</w:t>
            </w:r>
          </w:p>
        </w:tc>
      </w:tr>
      <w:tr w:rsidR="00A300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Interleukin-1 processing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A300BD" w:rsidRPr="005C03E5" w:rsidRDefault="00A300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75%</w:t>
            </w:r>
          </w:p>
        </w:tc>
      </w:tr>
      <w:tr w:rsidR="00A300BD" w:rsidRPr="005C03E5" w:rsidTr="00B727E1">
        <w:tc>
          <w:tcPr>
            <w:tcW w:w="20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300BD" w:rsidRPr="005C03E5" w:rsidRDefault="00A300BD">
            <w:pPr>
              <w:rPr>
                <w:sz w:val="20"/>
                <w:szCs w:val="20"/>
              </w:rPr>
            </w:pPr>
          </w:p>
        </w:tc>
        <w:tc>
          <w:tcPr>
            <w:tcW w:w="5362" w:type="dxa"/>
            <w:tcBorders>
              <w:left w:val="single" w:sz="12" w:space="0" w:color="auto"/>
            </w:tcBorders>
          </w:tcPr>
          <w:p w:rsidR="00A300BD" w:rsidRPr="005C03E5" w:rsidRDefault="00A300BD" w:rsidP="00835355">
            <w:pPr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FASL:FAS Receptor Trimer, FADD complex</w:t>
            </w:r>
          </w:p>
        </w:tc>
        <w:tc>
          <w:tcPr>
            <w:tcW w:w="2292" w:type="dxa"/>
            <w:tcBorders>
              <w:right w:val="single" w:sz="12" w:space="0" w:color="auto"/>
            </w:tcBorders>
          </w:tcPr>
          <w:p w:rsidR="00A300BD" w:rsidRPr="005C03E5" w:rsidRDefault="00A300BD" w:rsidP="00D106A7">
            <w:pPr>
              <w:jc w:val="center"/>
              <w:rPr>
                <w:sz w:val="20"/>
                <w:szCs w:val="20"/>
              </w:rPr>
            </w:pPr>
            <w:r w:rsidRPr="005C03E5">
              <w:rPr>
                <w:sz w:val="20"/>
                <w:szCs w:val="20"/>
              </w:rPr>
              <w:t>100%</w:t>
            </w:r>
          </w:p>
        </w:tc>
      </w:tr>
    </w:tbl>
    <w:p w:rsidR="00BD6883" w:rsidRDefault="00BD6883"/>
    <w:sectPr w:rsidR="00BD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AA"/>
    <w:rsid w:val="00000328"/>
    <w:rsid w:val="00095DBA"/>
    <w:rsid w:val="000C547E"/>
    <w:rsid w:val="000C7E1C"/>
    <w:rsid w:val="001225A2"/>
    <w:rsid w:val="00145E97"/>
    <w:rsid w:val="001852C8"/>
    <w:rsid w:val="001C3101"/>
    <w:rsid w:val="001C46C7"/>
    <w:rsid w:val="00220B28"/>
    <w:rsid w:val="0025391B"/>
    <w:rsid w:val="00261365"/>
    <w:rsid w:val="00341594"/>
    <w:rsid w:val="0035559D"/>
    <w:rsid w:val="00365324"/>
    <w:rsid w:val="00380EF9"/>
    <w:rsid w:val="003977E7"/>
    <w:rsid w:val="003D5D3D"/>
    <w:rsid w:val="003E0F2B"/>
    <w:rsid w:val="00400098"/>
    <w:rsid w:val="0045450D"/>
    <w:rsid w:val="00472B7D"/>
    <w:rsid w:val="00482ED5"/>
    <w:rsid w:val="00483122"/>
    <w:rsid w:val="004952AC"/>
    <w:rsid w:val="004B56DC"/>
    <w:rsid w:val="004E2543"/>
    <w:rsid w:val="00502D4A"/>
    <w:rsid w:val="005203BD"/>
    <w:rsid w:val="00571D4E"/>
    <w:rsid w:val="005B3976"/>
    <w:rsid w:val="005C03E5"/>
    <w:rsid w:val="0061275D"/>
    <w:rsid w:val="006167E1"/>
    <w:rsid w:val="0062009A"/>
    <w:rsid w:val="00623FE2"/>
    <w:rsid w:val="006314E6"/>
    <w:rsid w:val="00632904"/>
    <w:rsid w:val="00641222"/>
    <w:rsid w:val="0066243E"/>
    <w:rsid w:val="006644F5"/>
    <w:rsid w:val="00677AFD"/>
    <w:rsid w:val="006A2916"/>
    <w:rsid w:val="006E52FE"/>
    <w:rsid w:val="00704225"/>
    <w:rsid w:val="00705020"/>
    <w:rsid w:val="0070762E"/>
    <w:rsid w:val="00743EDB"/>
    <w:rsid w:val="0075154C"/>
    <w:rsid w:val="00755E3A"/>
    <w:rsid w:val="007667BD"/>
    <w:rsid w:val="00777AEF"/>
    <w:rsid w:val="007C4C33"/>
    <w:rsid w:val="007C4CD7"/>
    <w:rsid w:val="007D4867"/>
    <w:rsid w:val="007E5447"/>
    <w:rsid w:val="007F5150"/>
    <w:rsid w:val="00804C73"/>
    <w:rsid w:val="00821C88"/>
    <w:rsid w:val="00835355"/>
    <w:rsid w:val="00843FDD"/>
    <w:rsid w:val="00846319"/>
    <w:rsid w:val="00862092"/>
    <w:rsid w:val="00874074"/>
    <w:rsid w:val="008A0C6B"/>
    <w:rsid w:val="008A55C4"/>
    <w:rsid w:val="008B5B8D"/>
    <w:rsid w:val="008C3A7A"/>
    <w:rsid w:val="008D7DC1"/>
    <w:rsid w:val="008E7CD2"/>
    <w:rsid w:val="009205B3"/>
    <w:rsid w:val="00920E10"/>
    <w:rsid w:val="00937A51"/>
    <w:rsid w:val="00955F8A"/>
    <w:rsid w:val="00994EF7"/>
    <w:rsid w:val="00A300BD"/>
    <w:rsid w:val="00A41DE3"/>
    <w:rsid w:val="00A43269"/>
    <w:rsid w:val="00A56455"/>
    <w:rsid w:val="00AA5ACB"/>
    <w:rsid w:val="00AC0B9A"/>
    <w:rsid w:val="00AE3BE3"/>
    <w:rsid w:val="00AE76C2"/>
    <w:rsid w:val="00AF771C"/>
    <w:rsid w:val="00B123B3"/>
    <w:rsid w:val="00B203AA"/>
    <w:rsid w:val="00B37C36"/>
    <w:rsid w:val="00B54FD8"/>
    <w:rsid w:val="00B727E1"/>
    <w:rsid w:val="00BD6883"/>
    <w:rsid w:val="00BF0699"/>
    <w:rsid w:val="00C0558B"/>
    <w:rsid w:val="00C178BB"/>
    <w:rsid w:val="00C34154"/>
    <w:rsid w:val="00C54843"/>
    <w:rsid w:val="00C95916"/>
    <w:rsid w:val="00C96885"/>
    <w:rsid w:val="00CC163E"/>
    <w:rsid w:val="00CD3AEF"/>
    <w:rsid w:val="00CD4F24"/>
    <w:rsid w:val="00CF5CF0"/>
    <w:rsid w:val="00D106A7"/>
    <w:rsid w:val="00D475D0"/>
    <w:rsid w:val="00DE039F"/>
    <w:rsid w:val="00DE305B"/>
    <w:rsid w:val="00E12671"/>
    <w:rsid w:val="00E64EF4"/>
    <w:rsid w:val="00E801AF"/>
    <w:rsid w:val="00E8741A"/>
    <w:rsid w:val="00E90835"/>
    <w:rsid w:val="00F061C9"/>
    <w:rsid w:val="00F1753F"/>
    <w:rsid w:val="00F33C1E"/>
    <w:rsid w:val="00F476F1"/>
    <w:rsid w:val="00F74EF4"/>
    <w:rsid w:val="00F93D7B"/>
    <w:rsid w:val="00FB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eileen.hanna</dc:creator>
  <cp:lastModifiedBy>nazar</cp:lastModifiedBy>
  <cp:revision>2</cp:revision>
  <dcterms:created xsi:type="dcterms:W3CDTF">2014-12-17T20:07:00Z</dcterms:created>
  <dcterms:modified xsi:type="dcterms:W3CDTF">2014-12-17T20:07:00Z</dcterms:modified>
</cp:coreProperties>
</file>