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AF0000" w:val="clear"/>
            <w:tcMar>
              <w:top w:type="dxa" w:w="200"/>
              <w:left w:type="dxa" w:w="250"/>
              <w:bottom w:type="dxa" w:w="200"/>
              <w:right w:type="dxa" w:w="250"/>
            </w:tcMar>
          </w:tcPr>
          <w:p>
            <w:r>
              <w:rPr>
                <w:rFonts w:ascii="Inter" w:cs="Inter" w:eastAsia="Inter" w:hAnsi="Inter"/>
                <w:b/>
                <w:bCs/>
                <w:color w:val="FFFFFF"/>
                <w:sz w:val="20"/>
                <w:szCs w:val="20"/>
              </w:rPr>
              <w:t xml:space="preserve">CAPTURE BRIEF</w:t>
            </w:r>
          </w:p>
          <w:p>
            <w:pPr>
              <w:spacing w:before="100"/>
            </w:pPr>
            <w:r>
              <w:rPr>
                <w:rFonts w:ascii="Inter" w:cs="Inter" w:eastAsia="Inter" w:hAnsi="Inter"/>
                <w:b/>
                <w:bCs/>
                <w:color w:val="FFFFFF"/>
                <w:sz w:val="28"/>
                <w:szCs w:val="28"/>
              </w:rPr>
              <w:t xml:space="preserve">Preliminary Market Engagement – CfD Settlement Services Platform</w:t>
            </w:r>
          </w:p>
          <w:p>
            <w:pPr>
              <w:spacing w:before="100"/>
            </w:pPr>
            <w:r>
              <w:rPr>
                <w:rFonts w:ascii="Inter" w:cs="Inter" w:eastAsia="Inter" w:hAnsi="Inter"/>
                <w:color w:val="FFFFFF"/>
                <w:sz w:val="20"/>
                <w:szCs w:val="20"/>
              </w:rPr>
              <w:t xml:space="preserve">Low Carbon Contracts Company Ltd | Reference: CRN2026-014</w:t>
            </w:r>
          </w:p>
          <w:p>
            <w:r>
              <w:rPr>
                <w:rFonts w:ascii="Inter" w:cs="Inter" w:eastAsia="Inter" w:hAnsi="Inter"/>
                <w:color w:val="FFFFFF"/>
                <w:sz w:val="20"/>
                <w:szCs w:val="20"/>
              </w:rPr>
              <w:t xml:space="preserve">Prepared by Victoria Milan, Bid Director, Bid Savvy Solutions Ltd | August 2026 (Corrected)</w:t>
            </w:r>
          </w:p>
        </w:tc>
      </w:tr>
    </w:tbl>
    <w:p/>
    <w:p>
      <w:pPr>
        <w:spacing w:after="150" w:before="300"/>
      </w:pPr>
      <w:r>
        <w:rPr>
          <w:rFonts w:ascii="Inter" w:cs="Inter" w:eastAsia="Inter" w:hAnsi="Inter"/>
          <w:b/>
          <w:bCs/>
          <w:color w:val="AF0000"/>
          <w:sz w:val="26"/>
          <w:szCs w:val="26"/>
        </w:rPr>
        <w:t xml:space="preserve">1. EXECUTIVE SUMMARY</w:t>
      </w:r>
    </w:p>
    <w:p>
      <w:pPr>
        <w:spacing w:after="150"/>
      </w:pPr>
      <w:r>
        <w:rPr>
          <w:rFonts w:ascii="Inter" w:cs="Inter" w:eastAsia="Inter" w:hAnsi="Inter"/>
          <w:color w:val="000000"/>
          <w:sz w:val="20"/>
          <w:szCs w:val="20"/>
        </w:rPr>
        <w:t xml:space="preserve">Low Carbon Contracts Company Ltd (LCCC), the UK Government-owned body responsible for administering Contracts for Difference (CfD) on behalf of the Department for Energy Security and Net Zero, has published a Preliminary Market Engagement notice to inform a potential future procurement for a CfD Settlement Services Platform.</w:t>
      </w:r>
    </w:p>
    <w:p>
      <w:pPr>
        <w:spacing w:after="150"/>
      </w:pPr>
      <w:r>
        <w:rPr>
          <w:rFonts w:ascii="Inter" w:cs="Inter" w:eastAsia="Inter" w:hAnsi="Inter"/>
          <w:color w:val="000000"/>
          <w:sz w:val="20"/>
          <w:szCs w:val="20"/>
        </w:rPr>
        <w:t xml:space="preserve">LCCC's CfD portfolio is growing in scale, with increasing data and transaction volumes flowing through its settlement operations. The engagement seeks market insight on capability for data collection and validation, settlement calculations, reconciliation, billing, payment processing, reporting, auditability, and system integration, all delivered as part of a secure, efficient, well-controlled settlement service.</w:t>
      </w:r>
    </w:p>
    <w:p>
      <w:pPr>
        <w:spacing w:after="150"/>
      </w:pPr>
      <w:r>
        <w:rPr>
          <w:rFonts w:ascii="Inter" w:cs="Inter" w:eastAsia="Inter" w:hAnsi="Inter"/>
          <w:color w:val="000000"/>
          <w:sz w:val="20"/>
          <w:szCs w:val="20"/>
        </w:rPr>
        <w:t xml:space="preserve">This is the strongest direct capability match identified in the current pipeline. Trifork's engineering strength in secure, transactional platform work for regulated financial and utility clients is directly relevant, evidenced through delivered case work for Danish financial institutions and an energy sector client. No procurement route, delivery model or budget has been committed at this stage; this is an information-gathering exercise that will shape LCCC's future procurement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2F5D8A" w:sz="4"/>
              <w:left w:val="single" w:color="2F5D8A" w:sz="4"/>
              <w:bottom w:val="single" w:color="2F5D8A" w:sz="4"/>
              <w:right w:val="single" w:color="2F5D8A" w:sz="4"/>
            </w:tcBorders>
            <w:shd w:fill="EEF3FA" w:val="clear"/>
            <w:tcMar>
              <w:top w:type="dxa" w:w="150"/>
              <w:left w:type="dxa" w:w="200"/>
              <w:bottom w:type="dxa" w:w="150"/>
              <w:right w:type="dxa" w:w="200"/>
            </w:tcMar>
          </w:tcPr>
          <w:p>
            <w:r>
              <w:rPr>
                <w:rFonts w:ascii="Inter" w:cs="Inter" w:eastAsia="Inter" w:hAnsi="Inter"/>
                <w:b w:val="false"/>
                <w:bCs w:val="false"/>
                <w:color w:val="000000"/>
                <w:sz w:val="20"/>
                <w:szCs w:val="20"/>
              </w:rPr>
              <w:t xml:space="preserve">Why this matters: Trifork has delivered secure, AI-enabled platform work for regulated financial services clients (including a platform used by three separate Danish banks) and for an energy sector client. LCCC is describing precisely the kind of secure, well-controlled transactional platform this experience supports. Early engagement now gives Trifork visibility into how this requirement is shaped before any formal tender is issued.</w:t>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AF0000" w:sz="4"/>
              <w:left w:val="single" w:color="AF0000" w:sz="4"/>
              <w:bottom w:val="single" w:color="AF0000" w:sz="4"/>
              <w:right w:val="single" w:color="AF0000" w:sz="4"/>
            </w:tcBorders>
            <w:shd w:fill="FDF0F0" w:val="clear"/>
            <w:tcMar>
              <w:top w:type="dxa" w:w="150"/>
              <w:left w:type="dxa" w:w="200"/>
              <w:bottom w:type="dxa" w:w="150"/>
              <w:right w:type="dxa" w:w="200"/>
            </w:tcMar>
          </w:tcPr>
          <w:p>
            <w:r>
              <w:rPr>
                <w:rFonts w:ascii="Inter" w:cs="Inter" w:eastAsia="Inter" w:hAnsi="Inter"/>
                <w:b w:val="false"/>
                <w:bCs w:val="false"/>
                <w:color w:val="000000"/>
                <w:sz w:val="20"/>
                <w:szCs w:val="20"/>
              </w:rPr>
              <w:t xml:space="preserve">Immediate deadline: PME response by 14 August 2026, 12 noon. Response is via a questionnaire on LCCC's Delta e-Sourcing portal (lccc.delta-esourcing.com). Registration and the completed questionnaire are both required by the deadline.</w:t>
            </w:r>
          </w:p>
        </w:tc>
      </w:tr>
    </w:tbl>
    <w:p/>
    <w:p>
      <w:pPr>
        <w:spacing w:after="150" w:before="300"/>
      </w:pPr>
      <w:r>
        <w:rPr>
          <w:rFonts w:ascii="Inter" w:cs="Inter" w:eastAsia="Inter" w:hAnsi="Inter"/>
          <w:b/>
          <w:bCs/>
          <w:color w:val="AF0000"/>
          <w:sz w:val="26"/>
          <w:szCs w:val="26"/>
        </w:rPr>
        <w:t xml:space="preserve">2. KEY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B8BCC2" w:sz="4"/>
              <w:left w:val="single" w:color="B8BCC2" w:sz="4"/>
              <w:bottom w:val="single" w:color="B8BCC2" w:sz="4"/>
              <w:right w:val="single" w:color="B8BCC2" w:sz="4"/>
            </w:tcBorders>
            <w:shd w:fill="AF0000" w:val="clear"/>
            <w:tcMar>
              <w:top w:type="dxa" w:w="100"/>
              <w:left w:type="dxa" w:w="150"/>
              <w:bottom w:type="dxa" w:w="100"/>
              <w:right w:type="dxa" w:w="150"/>
            </w:tcMar>
          </w:tcPr>
          <w:p>
            <w:r>
              <w:rPr>
                <w:rFonts w:ascii="Inter" w:cs="Inter" w:eastAsia="Inter" w:hAnsi="Inter"/>
                <w:b/>
                <w:bCs/>
                <w:color w:val="FFFFFF"/>
                <w:sz w:val="20"/>
                <w:szCs w:val="20"/>
              </w:rPr>
              <w:t xml:space="preserve">Term</w:t>
            </w:r>
          </w:p>
        </w:tc>
        <w:tc>
          <w:tcPr>
            <w:tcW w:type="dxa" w:w="6000"/>
            <w:tcBorders>
              <w:top w:val="single" w:color="B8BCC2" w:sz="4"/>
              <w:left w:val="single" w:color="B8BCC2" w:sz="4"/>
              <w:bottom w:val="single" w:color="B8BCC2" w:sz="4"/>
              <w:right w:val="single" w:color="B8BCC2" w:sz="4"/>
            </w:tcBorders>
            <w:shd w:fill="AF0000" w:val="clear"/>
            <w:tcMar>
              <w:top w:type="dxa" w:w="100"/>
              <w:left w:type="dxa" w:w="150"/>
              <w:bottom w:type="dxa" w:w="100"/>
              <w:right w:type="dxa" w:w="150"/>
            </w:tcMar>
          </w:tcPr>
          <w:p>
            <w:r>
              <w:rPr>
                <w:rFonts w:ascii="Inter" w:cs="Inter" w:eastAsia="Inter" w:hAnsi="Inter"/>
                <w:b/>
                <w:bCs/>
                <w:color w:val="FFFFFF"/>
                <w:sz w:val="20"/>
                <w:szCs w:val="20"/>
              </w:rPr>
              <w:t xml:space="preserve">Meaning</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LCCC</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Low Carbon Contracts Company Ltd, a UK Government-owned company responsible for administering Contracts for Difference (CfD) on behalf of DESNZ</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CfD</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Contracts for Difference, the UK Government's primary mechanism for supporting low-carbon electricity generation</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Settlement</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The calculation, reconciliation and payment process that determines what is owed between generators and the CfD scheme, and ensures accurate, auditable payment</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PME</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Preliminary Market Engagement, the information-gathering exercise LCCC is running before deciding its procurement strategy</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Delta e-Sourcing</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The e-procurement portal LCCC is using to manage this PME and any future procurement (lccc.delta-esourcing.com)</w:t>
            </w:r>
          </w:p>
        </w:tc>
      </w:tr>
    </w:tbl>
    <w:p/>
    <w:p>
      <w:pPr>
        <w:spacing w:after="150" w:before="300"/>
      </w:pPr>
      <w:r>
        <w:rPr>
          <w:rFonts w:ascii="Inter" w:cs="Inter" w:eastAsia="Inter" w:hAnsi="Inter"/>
          <w:b/>
          <w:bCs/>
          <w:color w:val="AF0000"/>
          <w:sz w:val="26"/>
          <w:szCs w:val="26"/>
        </w:rPr>
        <w:t xml:space="preserve">3. PROCUREMENT MECHANICS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B8BCC2" w:sz="4"/>
              <w:left w:val="single" w:color="B8BCC2" w:sz="4"/>
              <w:bottom w:val="single" w:color="B8BCC2" w:sz="4"/>
              <w:right w:val="single" w:color="B8BCC2" w:sz="4"/>
            </w:tcBorders>
            <w:shd w:fill="AF0000" w:val="clear"/>
            <w:tcMar>
              <w:top w:type="dxa" w:w="100"/>
              <w:left w:type="dxa" w:w="150"/>
              <w:bottom w:type="dxa" w:w="100"/>
              <w:right w:type="dxa" w:w="150"/>
            </w:tcMar>
          </w:tcPr>
          <w:p>
            <w:r>
              <w:rPr>
                <w:rFonts w:ascii="Inter" w:cs="Inter" w:eastAsia="Inter" w:hAnsi="Inter"/>
                <w:b/>
                <w:bCs/>
                <w:color w:val="FFFFFF"/>
                <w:sz w:val="20"/>
                <w:szCs w:val="20"/>
              </w:rPr>
              <w:t xml:space="preserve">Field</w:t>
            </w:r>
          </w:p>
        </w:tc>
        <w:tc>
          <w:tcPr>
            <w:tcW w:type="dxa" w:w="6000"/>
            <w:tcBorders>
              <w:top w:val="single" w:color="B8BCC2" w:sz="4"/>
              <w:left w:val="single" w:color="B8BCC2" w:sz="4"/>
              <w:bottom w:val="single" w:color="B8BCC2" w:sz="4"/>
              <w:right w:val="single" w:color="B8BCC2" w:sz="4"/>
            </w:tcBorders>
            <w:shd w:fill="AF0000" w:val="clear"/>
            <w:tcMar>
              <w:top w:type="dxa" w:w="100"/>
              <w:left w:type="dxa" w:w="150"/>
              <w:bottom w:type="dxa" w:w="100"/>
              <w:right w:type="dxa" w:w="150"/>
            </w:tcMar>
          </w:tcPr>
          <w:p>
            <w:r>
              <w:rPr>
                <w:rFonts w:ascii="Inter" w:cs="Inter" w:eastAsia="Inter" w:hAnsi="Inter"/>
                <w:b/>
                <w:bCs/>
                <w:color w:val="FFFFFF"/>
                <w:sz w:val="20"/>
                <w:szCs w:val="20"/>
              </w:rPr>
              <w:t xml:space="preserve">Detail</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Contracting authority</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Low Carbon Contracts Company Ltd</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Reference</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CRN2026-014</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Notice type</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UK2 Preliminary Market Engagement</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Procurement stage</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Preliminary Market Engagement. No procurement route, delivery model or budget committed.</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Framework required</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Not stated. Route to market to be informed by this engagement.</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Estimated contract value</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Not stated in the notice</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Main CPV codes</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72220000 (Systems and technical consultancy services), 72225000 (System quality assurance assessment and review services)</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PME contact</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Andy Skinner, Andy.Skinner@lowcarboncontracts.uk, 020 7211 8205</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Procurement portal</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Delta e-Sourcing, lccc.delta-esourcing.com</w:t>
            </w:r>
          </w:p>
        </w:tc>
      </w:tr>
    </w:tbl>
    <w:p/>
    <w:p>
      <w:pPr>
        <w:spacing w:after="150" w:before="300"/>
      </w:pPr>
      <w:r>
        <w:rPr>
          <w:rFonts w:ascii="Inter" w:cs="Inter" w:eastAsia="Inter" w:hAnsi="Inter"/>
          <w:b/>
          <w:bCs/>
          <w:color w:val="AF0000"/>
          <w:sz w:val="26"/>
          <w:szCs w:val="26"/>
        </w:rPr>
        <w:t xml:space="preserve">4. PROCUREMENT TIMETABLE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B8BCC2" w:sz="4"/>
              <w:left w:val="single" w:color="B8BCC2" w:sz="4"/>
              <w:bottom w:val="single" w:color="B8BCC2" w:sz="4"/>
              <w:right w:val="single" w:color="B8BCC2" w:sz="4"/>
            </w:tcBorders>
            <w:shd w:fill="AF0000" w:val="clear"/>
            <w:tcMar>
              <w:top w:type="dxa" w:w="100"/>
              <w:left w:type="dxa" w:w="150"/>
              <w:bottom w:type="dxa" w:w="100"/>
              <w:right w:type="dxa" w:w="150"/>
            </w:tcMar>
          </w:tcPr>
          <w:p>
            <w:r>
              <w:rPr>
                <w:rFonts w:ascii="Inter" w:cs="Inter" w:eastAsia="Inter" w:hAnsi="Inter"/>
                <w:b/>
                <w:bCs/>
                <w:color w:val="FFFFFF"/>
                <w:sz w:val="20"/>
                <w:szCs w:val="20"/>
              </w:rPr>
              <w:t xml:space="preserve">Milestone</w:t>
            </w:r>
          </w:p>
        </w:tc>
        <w:tc>
          <w:tcPr>
            <w:tcW w:type="dxa" w:w="6000"/>
            <w:tcBorders>
              <w:top w:val="single" w:color="B8BCC2" w:sz="4"/>
              <w:left w:val="single" w:color="B8BCC2" w:sz="4"/>
              <w:bottom w:val="single" w:color="B8BCC2" w:sz="4"/>
              <w:right w:val="single" w:color="B8BCC2" w:sz="4"/>
            </w:tcBorders>
            <w:shd w:fill="AF0000" w:val="clear"/>
            <w:tcMar>
              <w:top w:type="dxa" w:w="100"/>
              <w:left w:type="dxa" w:w="150"/>
              <w:bottom w:type="dxa" w:w="100"/>
              <w:right w:type="dxa" w:w="150"/>
            </w:tcMar>
          </w:tcPr>
          <w:p>
            <w:r>
              <w:rPr>
                <w:rFonts w:ascii="Inter" w:cs="Inter" w:eastAsia="Inter" w:hAnsi="Inter"/>
                <w:b/>
                <w:bCs/>
                <w:color w:val="FFFFFF"/>
                <w:sz w:val="20"/>
                <w:szCs w:val="20"/>
              </w:rPr>
              <w:t xml:space="preserve">Date</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PME notice published</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3 July 2026 (confirmed, FTS)</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PME engagement deadline</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14 August 2026, 12 noon</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Future procurement strategy</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To be informed by this engagement; no date confirmed</w:t>
            </w:r>
          </w:p>
        </w:tc>
      </w:tr>
    </w:tbl>
    <w:p/>
    <w:p>
      <w:pPr>
        <w:spacing w:after="150" w:before="300"/>
      </w:pPr>
      <w:r>
        <w:rPr>
          <w:rFonts w:ascii="Inter" w:cs="Inter" w:eastAsia="Inter" w:hAnsi="Inter"/>
          <w:b/>
          <w:bCs/>
          <w:color w:val="AF0000"/>
          <w:sz w:val="26"/>
          <w:szCs w:val="26"/>
        </w:rPr>
        <w:t xml:space="preserve">5. SCOPE OF REQUIREMENT</w:t>
      </w:r>
    </w:p>
    <w:p>
      <w:pPr>
        <w:spacing w:after="150"/>
      </w:pPr>
      <w:r>
        <w:rPr>
          <w:rFonts w:ascii="Inter" w:cs="Inter" w:eastAsia="Inter" w:hAnsi="Inter"/>
          <w:color w:val="000000"/>
          <w:sz w:val="20"/>
          <w:szCs w:val="20"/>
        </w:rPr>
        <w:t xml:space="preserve">LCCC is seeking market insight for a potential future CfD settlement service. The notice states the opportunity may include, but is not limited to, capabilities across the following areas.</w:t>
      </w:r>
    </w:p>
    <w:p>
      <w:pPr>
        <w:spacing w:after="100" w:before="200"/>
      </w:pPr>
      <w:r>
        <w:rPr>
          <w:rFonts w:ascii="Inter" w:cs="Inter" w:eastAsia="Inter" w:hAnsi="Inter"/>
          <w:b/>
          <w:bCs/>
          <w:color w:val="000000"/>
          <w:sz w:val="22"/>
          <w:szCs w:val="22"/>
        </w:rPr>
        <w:t xml:space="preserve">Documented requirement areas</w:t>
      </w:r>
    </w:p>
    <w:p>
      <w:pPr>
        <w:pStyle w:val="ListParagraph"/>
        <w:numPr>
          <w:ilvl w:val="0"/>
          <w:numId w:val="1"/>
        </w:numPr>
        <w:spacing w:after="80"/>
      </w:pPr>
      <w:r>
        <w:rPr>
          <w:rFonts w:ascii="Inter" w:cs="Inter" w:eastAsia="Inter" w:hAnsi="Inter"/>
          <w:color w:val="000000"/>
          <w:sz w:val="20"/>
          <w:szCs w:val="20"/>
        </w:rPr>
        <w:t xml:space="preserve">Data collection and validation across funds and mandates</w:t>
      </w:r>
    </w:p>
    <w:p>
      <w:pPr>
        <w:pStyle w:val="ListParagraph"/>
        <w:numPr>
          <w:ilvl w:val="0"/>
          <w:numId w:val="1"/>
        </w:numPr>
        <w:spacing w:after="80"/>
      </w:pPr>
      <w:r>
        <w:rPr>
          <w:rFonts w:ascii="Inter" w:cs="Inter" w:eastAsia="Inter" w:hAnsi="Inter"/>
          <w:color w:val="000000"/>
          <w:sz w:val="20"/>
          <w:szCs w:val="20"/>
        </w:rPr>
        <w:t xml:space="preserve">Settlement calculations, covering an increasing scale and volume of CfD transactions</w:t>
      </w:r>
    </w:p>
    <w:p>
      <w:pPr>
        <w:pStyle w:val="ListParagraph"/>
        <w:numPr>
          <w:ilvl w:val="0"/>
          <w:numId w:val="1"/>
        </w:numPr>
        <w:spacing w:after="80"/>
      </w:pPr>
      <w:r>
        <w:rPr>
          <w:rFonts w:ascii="Inter" w:cs="Inter" w:eastAsia="Inter" w:hAnsi="Inter"/>
          <w:color w:val="000000"/>
          <w:sz w:val="20"/>
          <w:szCs w:val="20"/>
        </w:rPr>
        <w:t xml:space="preserve">Reconciliation of settlement positions</w:t>
      </w:r>
    </w:p>
    <w:p>
      <w:pPr>
        <w:pStyle w:val="ListParagraph"/>
        <w:numPr>
          <w:ilvl w:val="0"/>
          <w:numId w:val="1"/>
        </w:numPr>
        <w:spacing w:after="80"/>
      </w:pPr>
      <w:r>
        <w:rPr>
          <w:rFonts w:ascii="Inter" w:cs="Inter" w:eastAsia="Inter" w:hAnsi="Inter"/>
          <w:color w:val="000000"/>
          <w:sz w:val="20"/>
          <w:szCs w:val="20"/>
        </w:rPr>
        <w:t xml:space="preserve">Billing and payment processing</w:t>
      </w:r>
    </w:p>
    <w:p>
      <w:pPr>
        <w:pStyle w:val="ListParagraph"/>
        <w:numPr>
          <w:ilvl w:val="0"/>
          <w:numId w:val="1"/>
        </w:numPr>
        <w:spacing w:after="80"/>
      </w:pPr>
      <w:r>
        <w:rPr>
          <w:rFonts w:ascii="Inter" w:cs="Inter" w:eastAsia="Inter" w:hAnsi="Inter"/>
          <w:color w:val="000000"/>
          <w:sz w:val="20"/>
          <w:szCs w:val="20"/>
        </w:rPr>
        <w:t xml:space="preserve">Reporting and auditability, supporting a regulated, publicly accountable function</w:t>
      </w:r>
    </w:p>
    <w:p>
      <w:pPr>
        <w:pStyle w:val="ListParagraph"/>
        <w:numPr>
          <w:ilvl w:val="0"/>
          <w:numId w:val="1"/>
        </w:numPr>
        <w:spacing w:after="80"/>
      </w:pPr>
      <w:r>
        <w:rPr>
          <w:rFonts w:ascii="Inter" w:cs="Inter" w:eastAsia="Inter" w:hAnsi="Inter"/>
          <w:color w:val="000000"/>
          <w:sz w:val="20"/>
          <w:szCs w:val="20"/>
        </w:rPr>
        <w:t xml:space="preserve">System integration with existing LCCC and market infrastructure</w:t>
      </w:r>
    </w:p>
    <w:p>
      <w:pPr>
        <w:pStyle w:val="ListParagraph"/>
        <w:numPr>
          <w:ilvl w:val="0"/>
          <w:numId w:val="1"/>
        </w:numPr>
        <w:spacing w:after="80"/>
      </w:pPr>
      <w:r>
        <w:rPr>
          <w:rFonts w:ascii="Inter" w:cs="Inter" w:eastAsia="Inter" w:hAnsi="Inter"/>
          <w:color w:val="000000"/>
          <w:sz w:val="20"/>
          <w:szCs w:val="20"/>
        </w:rPr>
        <w:t xml:space="preserve">Associated service management</w:t>
      </w:r>
    </w:p>
    <w:p>
      <w:pPr>
        <w:spacing w:after="100" w:before="200"/>
      </w:pPr>
      <w:r>
        <w:rPr>
          <w:rFonts w:ascii="Inter" w:cs="Inter" w:eastAsia="Inter" w:hAnsi="Inter"/>
          <w:b/>
          <w:bCs/>
          <w:color w:val="000000"/>
          <w:sz w:val="22"/>
          <w:szCs w:val="22"/>
        </w:rPr>
        <w:t xml:space="preserve">What LCCC is seeking from this engagement</w:t>
      </w:r>
    </w:p>
    <w:p>
      <w:pPr>
        <w:spacing w:after="150"/>
      </w:pPr>
      <w:r>
        <w:rPr>
          <w:rFonts w:ascii="Inter" w:cs="Inter" w:eastAsia="Inter" w:hAnsi="Inter"/>
          <w:color w:val="000000"/>
          <w:sz w:val="20"/>
          <w:szCs w:val="20"/>
        </w:rPr>
        <w:t xml:space="preserve">LCCC states plainly that this PME is exploratory: it is testing feasibility, exploring available delivery models and technologies, identifying risks and innovation opportunities, and gathering supplier feedback to inform its future procurement strategy and scope. No solution, delivery model or subsequent procurement is committed by participating.</w:t>
      </w:r>
    </w:p>
    <w:p>
      <w:pPr>
        <w:spacing w:after="100" w:before="200"/>
      </w:pPr>
      <w:r>
        <w:rPr>
          <w:rFonts w:ascii="Inter" w:cs="Inter" w:eastAsia="Inter" w:hAnsi="Inter"/>
          <w:b/>
          <w:bCs/>
          <w:color w:val="000000"/>
          <w:sz w:val="22"/>
          <w:szCs w:val="22"/>
        </w:rPr>
        <w:t xml:space="preserve">Engagement model</w:t>
      </w:r>
    </w:p>
    <w:p>
      <w:pPr>
        <w:spacing w:after="150"/>
      </w:pPr>
      <w:r>
        <w:rPr>
          <w:rFonts w:ascii="Inter" w:cs="Inter" w:eastAsia="Inter" w:hAnsi="Inter"/>
          <w:color w:val="000000"/>
          <w:sz w:val="20"/>
          <w:szCs w:val="20"/>
        </w:rPr>
        <w:t xml:space="preserve">Response is via a structured questionnaire, with the possibility of follow-up one-to-one meetings or workshops, managed through the Delta e-Sourcing portal. Participation gives early visibility of the opportunity and a chance to help shape a realistic, market-informed approach before any formal procurement begins.</w:t>
      </w:r>
    </w:p>
    <w:p/>
    <w:p>
      <w:pPr>
        <w:spacing w:after="150" w:before="300"/>
      </w:pPr>
      <w:r>
        <w:rPr>
          <w:rFonts w:ascii="Inter" w:cs="Inter" w:eastAsia="Inter" w:hAnsi="Inter"/>
          <w:b/>
          <w:bCs/>
          <w:color w:val="AF0000"/>
          <w:sz w:val="26"/>
          <w:szCs w:val="26"/>
        </w:rPr>
        <w:t xml:space="preserve">6. CAPABILITY AND FIT ASSESSMENT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B8BCC2" w:sz="4"/>
              <w:left w:val="single" w:color="B8BCC2" w:sz="4"/>
              <w:bottom w:val="single" w:color="B8BCC2" w:sz="4"/>
              <w:right w:val="single" w:color="B8BCC2" w:sz="4"/>
            </w:tcBorders>
            <w:shd w:fill="AF0000" w:val="clear"/>
            <w:tcMar>
              <w:top w:type="dxa" w:w="100"/>
              <w:left w:type="dxa" w:w="150"/>
              <w:bottom w:type="dxa" w:w="100"/>
              <w:right w:type="dxa" w:w="150"/>
            </w:tcMar>
          </w:tcPr>
          <w:p>
            <w:r>
              <w:rPr>
                <w:rFonts w:ascii="Inter" w:cs="Inter" w:eastAsia="Inter" w:hAnsi="Inter"/>
                <w:b/>
                <w:bCs/>
                <w:color w:val="FFFFFF"/>
                <w:sz w:val="20"/>
                <w:szCs w:val="20"/>
              </w:rPr>
              <w:t xml:space="preserve">Capability fit</w:t>
            </w:r>
          </w:p>
        </w:tc>
        <w:tc>
          <w:tcPr>
            <w:tcW w:type="dxa" w:w="3000"/>
            <w:tcBorders>
              <w:top w:val="single" w:color="B8BCC2" w:sz="4"/>
              <w:left w:val="single" w:color="B8BCC2" w:sz="4"/>
              <w:bottom w:val="single" w:color="B8BCC2" w:sz="4"/>
              <w:right w:val="single" w:color="B8BCC2" w:sz="4"/>
            </w:tcBorders>
            <w:shd w:fill="AF0000" w:val="clear"/>
            <w:tcMar>
              <w:top w:type="dxa" w:w="100"/>
              <w:left w:type="dxa" w:w="150"/>
              <w:bottom w:type="dxa" w:w="100"/>
              <w:right w:type="dxa" w:w="150"/>
            </w:tcMar>
          </w:tcPr>
          <w:p>
            <w:r>
              <w:rPr>
                <w:rFonts w:ascii="Inter" w:cs="Inter" w:eastAsia="Inter" w:hAnsi="Inter"/>
                <w:b/>
                <w:bCs/>
                <w:color w:val="FFFFFF"/>
                <w:sz w:val="20"/>
                <w:szCs w:val="20"/>
              </w:rPr>
              <w:t xml:space="preserve">Competitive risk</w:t>
            </w:r>
          </w:p>
        </w:tc>
        <w:tc>
          <w:tcPr>
            <w:tcW w:type="dxa" w:w="3000"/>
            <w:tcBorders>
              <w:top w:val="single" w:color="B8BCC2" w:sz="4"/>
              <w:left w:val="single" w:color="B8BCC2" w:sz="4"/>
              <w:bottom w:val="single" w:color="B8BCC2" w:sz="4"/>
              <w:right w:val="single" w:color="B8BCC2" w:sz="4"/>
            </w:tcBorders>
            <w:shd w:fill="AF0000" w:val="clear"/>
            <w:tcMar>
              <w:top w:type="dxa" w:w="100"/>
              <w:left w:type="dxa" w:w="150"/>
              <w:bottom w:type="dxa" w:w="100"/>
              <w:right w:type="dxa" w:w="150"/>
            </w:tcMar>
          </w:tcPr>
          <w:p>
            <w:r>
              <w:rPr>
                <w:rFonts w:ascii="Inter" w:cs="Inter" w:eastAsia="Inter" w:hAnsi="Inter"/>
                <w:b/>
                <w:bCs/>
                <w:color w:val="FFFFFF"/>
                <w:sz w:val="20"/>
                <w:szCs w:val="20"/>
              </w:rPr>
              <w:t xml:space="preserve">Right to win</w:t>
            </w:r>
          </w:p>
        </w:tc>
      </w:tr>
      <w:tr>
        <w:tc>
          <w:tcPr>
            <w:tcW w:type="dxa" w:w="3000"/>
            <w:tcBorders>
              <w:top w:val="single" w:color="B8BCC2" w:sz="4"/>
              <w:left w:val="single" w:color="B8BCC2" w:sz="4"/>
              <w:bottom w:val="single" w:color="B8BCC2" w:sz="4"/>
              <w:right w:val="single" w:color="B8BCC2" w:sz="4"/>
            </w:tcBorders>
            <w:tcMar>
              <w:top w:type="dxa" w:w="100"/>
              <w:left w:type="dxa" w:w="150"/>
              <w:bottom w:type="dxa" w:w="100"/>
              <w:right w:type="dxa" w:w="150"/>
            </w:tcMar>
          </w:tcPr>
          <w:p>
            <w:pPr>
              <w:jc w:val="center"/>
            </w:pPr>
            <w:r>
              <w:rPr>
                <w:rFonts w:ascii="Inter" w:cs="Inter" w:eastAsia="Inter" w:hAnsi="Inter"/>
                <w:b/>
                <w:bCs/>
                <w:color w:val="2F5D8A"/>
                <w:sz w:val="24"/>
                <w:szCs w:val="24"/>
              </w:rPr>
              <w:t xml:space="preserve">HIGH</w:t>
            </w:r>
          </w:p>
        </w:tc>
        <w:tc>
          <w:tcPr>
            <w:tcW w:type="dxa" w:w="3000"/>
            <w:tcBorders>
              <w:top w:val="single" w:color="B8BCC2" w:sz="4"/>
              <w:left w:val="single" w:color="B8BCC2" w:sz="4"/>
              <w:bottom w:val="single" w:color="B8BCC2" w:sz="4"/>
              <w:right w:val="single" w:color="B8BCC2" w:sz="4"/>
            </w:tcBorders>
            <w:tcMar>
              <w:top w:type="dxa" w:w="100"/>
              <w:left w:type="dxa" w:w="150"/>
              <w:bottom w:type="dxa" w:w="100"/>
              <w:right w:type="dxa" w:w="150"/>
            </w:tcMar>
          </w:tcPr>
          <w:p>
            <w:pPr>
              <w:jc w:val="center"/>
            </w:pPr>
            <w:r>
              <w:rPr>
                <w:rFonts w:ascii="Inter" w:cs="Inter" w:eastAsia="Inter" w:hAnsi="Inter"/>
                <w:b/>
                <w:bCs/>
                <w:color w:val="3A3A3A"/>
                <w:sz w:val="24"/>
                <w:szCs w:val="24"/>
              </w:rPr>
              <w:t xml:space="preserve">MED</w:t>
            </w:r>
          </w:p>
        </w:tc>
        <w:tc>
          <w:tcPr>
            <w:tcW w:type="dxa" w:w="3000"/>
            <w:tcBorders>
              <w:top w:val="single" w:color="B8BCC2" w:sz="4"/>
              <w:left w:val="single" w:color="B8BCC2" w:sz="4"/>
              <w:bottom w:val="single" w:color="B8BCC2" w:sz="4"/>
              <w:right w:val="single" w:color="B8BCC2" w:sz="4"/>
            </w:tcBorders>
            <w:tcMar>
              <w:top w:type="dxa" w:w="100"/>
              <w:left w:type="dxa" w:w="150"/>
              <w:bottom w:type="dxa" w:w="100"/>
              <w:right w:type="dxa" w:w="150"/>
            </w:tcMar>
          </w:tcPr>
          <w:p>
            <w:pPr>
              <w:jc w:val="center"/>
            </w:pPr>
            <w:r>
              <w:rPr>
                <w:rFonts w:ascii="Inter" w:cs="Inter" w:eastAsia="Inter" w:hAnsi="Inter"/>
                <w:b/>
                <w:bCs/>
                <w:color w:val="3A3A3A"/>
                <w:sz w:val="24"/>
                <w:szCs w:val="24"/>
              </w:rPr>
              <w:t xml:space="preserve">MED</w:t>
            </w:r>
          </w:p>
        </w:tc>
      </w:tr>
    </w:tbl>
    <w:p/>
    <w:p>
      <w:pPr>
        <w:spacing w:after="100" w:before="200"/>
      </w:pPr>
      <w:r>
        <w:rPr>
          <w:rFonts w:ascii="Inter" w:cs="Inter" w:eastAsia="Inter" w:hAnsi="Inter"/>
          <w:b/>
          <w:bCs/>
          <w:color w:val="000000"/>
          <w:sz w:val="22"/>
          <w:szCs w:val="22"/>
        </w:rPr>
        <w:t xml:space="preserve">Capability fit: HIGH</w:t>
      </w:r>
    </w:p>
    <w:p>
      <w:pPr>
        <w:spacing w:after="150"/>
      </w:pPr>
      <w:r>
        <w:rPr>
          <w:rFonts w:ascii="Inter" w:cs="Inter" w:eastAsia="Inter" w:hAnsi="Inter"/>
          <w:color w:val="000000"/>
          <w:sz w:val="20"/>
          <w:szCs w:val="20"/>
        </w:rPr>
        <w:t xml:space="preserve">The requirement maps onto Trifork's engineering strength in secure, transactional platform work for regulated clients, evidenced through delivered case studies:</w:t>
      </w:r>
    </w:p>
    <w:p>
      <w:pPr>
        <w:pStyle w:val="ListParagraph"/>
        <w:numPr>
          <w:ilvl w:val="0"/>
          <w:numId w:val="1"/>
        </w:numPr>
        <w:spacing w:after="80"/>
      </w:pPr>
      <w:r>
        <w:rPr>
          <w:rFonts w:ascii="Inter" w:cs="Inter" w:eastAsia="Inter" w:hAnsi="Inter"/>
          <w:color w:val="000000"/>
          <w:sz w:val="20"/>
          <w:szCs w:val="20"/>
        </w:rPr>
        <w:t xml:space="preserve">&amp;Money, an AI-driven financial advisory platform used by three Danish banks (Nykredit, AL Sydbank and BEC), demonstrating secure, multi-client financial platform delivery</w:t>
      </w:r>
    </w:p>
    <w:p>
      <w:pPr>
        <w:pStyle w:val="ListParagraph"/>
        <w:numPr>
          <w:ilvl w:val="0"/>
          <w:numId w:val="1"/>
        </w:numPr>
        <w:spacing w:after="80"/>
      </w:pPr>
      <w:r>
        <w:rPr>
          <w:rFonts w:ascii="Inter" w:cs="Inter" w:eastAsia="Inter" w:hAnsi="Inter"/>
          <w:color w:val="000000"/>
          <w:sz w:val="20"/>
          <w:szCs w:val="20"/>
        </w:rPr>
        <w:t xml:space="preserve">ALai, a secure internal AI assistant built for Arbejdernes Landsbank / AL Sydbank, demonstrating security-conscious engineering for a regulated financial institution</w:t>
      </w:r>
    </w:p>
    <w:p>
      <w:pPr>
        <w:pStyle w:val="ListParagraph"/>
        <w:numPr>
          <w:ilvl w:val="0"/>
          <w:numId w:val="1"/>
        </w:numPr>
        <w:spacing w:after="80"/>
      </w:pPr>
      <w:r>
        <w:rPr>
          <w:rFonts w:ascii="Inter" w:cs="Inter" w:eastAsia="Inter" w:hAnsi="Inter"/>
          <w:color w:val="000000"/>
          <w:sz w:val="20"/>
          <w:szCs w:val="20"/>
        </w:rPr>
        <w:t xml:space="preserve">Nordjyllandsfonden, an AI platform for application and document processing in grant and foundation administration, demonstrating data collection, validation and auditability capability</w:t>
      </w:r>
    </w:p>
    <w:p>
      <w:pPr>
        <w:pStyle w:val="ListParagraph"/>
        <w:numPr>
          <w:ilvl w:val="0"/>
          <w:numId w:val="1"/>
        </w:numPr>
        <w:spacing w:after="80"/>
      </w:pPr>
      <w:r>
        <w:rPr>
          <w:rFonts w:ascii="Inter" w:cs="Inter" w:eastAsia="Inter" w:hAnsi="Inter"/>
          <w:color w:val="000000"/>
          <w:sz w:val="20"/>
          <w:szCs w:val="20"/>
        </w:rPr>
        <w:t xml:space="preserve">AI Mail Assist, built for OK a.m.b.a. in the energy sector, demonstrating automation and reporting capability in a regulated utility context, directly relevant to LCCC's own sector</w:t>
      </w:r>
    </w:p>
    <w:p>
      <w:pPr>
        <w:spacing w:after="100" w:before="200"/>
      </w:pPr>
      <w:r>
        <w:rPr>
          <w:rFonts w:ascii="Inter" w:cs="Inter" w:eastAsia="Inter" w:hAnsi="Inter"/>
          <w:b/>
          <w:bCs/>
          <w:color w:val="000000"/>
          <w:sz w:val="22"/>
          <w:szCs w:val="22"/>
        </w:rPr>
        <w:t xml:space="preserve">Competitive risk: MED</w:t>
      </w:r>
    </w:p>
    <w:p>
      <w:pPr>
        <w:spacing w:after="150"/>
      </w:pPr>
      <w:r>
        <w:rPr>
          <w:rFonts w:ascii="Inter" w:cs="Inter" w:eastAsia="Inter" w:hAnsi="Inter"/>
          <w:color w:val="000000"/>
          <w:sz w:val="20"/>
          <w:szCs w:val="20"/>
        </w:rPr>
        <w:t xml:space="preserve">No incumbent or dominant existing supplier has been identified for this specific requirement; this is a genuinely open field at this early stage. Competitive risk is rated MED rather than LOW because settlement and clearing is a specialist niche with a small number of established players who may also respond to this PME, and because the eventual procurement route, once set, could favour firms already familiar to LCCC or DESNZ.</w:t>
      </w:r>
    </w:p>
    <w:p>
      <w:pPr>
        <w:spacing w:after="100" w:before="200"/>
      </w:pPr>
      <w:r>
        <w:rPr>
          <w:rFonts w:ascii="Inter" w:cs="Inter" w:eastAsia="Inter" w:hAnsi="Inter"/>
          <w:b/>
          <w:bCs/>
          <w:color w:val="000000"/>
          <w:sz w:val="22"/>
          <w:szCs w:val="22"/>
        </w:rPr>
        <w:t xml:space="preserve">Right to win: MED</w:t>
      </w:r>
    </w:p>
    <w:p>
      <w:pPr>
        <w:spacing w:after="150"/>
      </w:pPr>
      <w:r>
        <w:rPr>
          <w:rFonts w:ascii="Inter" w:cs="Inter" w:eastAsia="Inter" w:hAnsi="Inter"/>
          <w:color w:val="000000"/>
          <w:sz w:val="20"/>
          <w:szCs w:val="20"/>
        </w:rPr>
        <w:t xml:space="preserve">Two genuine, addressable factors affect right to win at this stage: the procurement route has not yet been decided, so framework access cannot be confirmed either way, and Trifork's UK security clearance position for staff who could be proposed on a central government energy settlement engagement is not yet confirmed. Neither is a capability gap, and per Bid Savvy policy neither the absence of a UK reference nor Trifork's size are treated as reasons to discount right to win. Trifork's documented case studies are genuine, verified evidence of secure financial and regulated-sector platform delivery, though it should be noted plainly that none is a UK public sector engagement and none is a direct settlement or clearing engagement specifically; the strongest available evidence is adjacent, not a like-for-like reference. The cost of entry to this PME is low, an email registration and a written questionnaire response, which makes early engagement a low-risk, high-value way to establish visibility ahead of any future tender.</w:t>
      </w:r>
    </w:p>
    <w:p/>
    <w:p>
      <w:pPr>
        <w:spacing w:after="150" w:before="300"/>
      </w:pPr>
      <w:r>
        <w:rPr>
          <w:rFonts w:ascii="Inter" w:cs="Inter" w:eastAsia="Inter" w:hAnsi="Inter"/>
          <w:b/>
          <w:bCs/>
          <w:color w:val="AF0000"/>
          <w:sz w:val="26"/>
          <w:szCs w:val="26"/>
        </w:rPr>
        <w:t xml:space="preserve">7. DECISION FRAMEWORK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B8BCC2" w:sz="4"/>
              <w:left w:val="single" w:color="B8BCC2" w:sz="4"/>
              <w:bottom w:val="single" w:color="B8BCC2" w:sz="4"/>
              <w:right w:val="single" w:color="B8BCC2" w:sz="4"/>
            </w:tcBorders>
            <w:shd w:fill="AF0000" w:val="clear"/>
            <w:tcMar>
              <w:top w:type="dxa" w:w="100"/>
              <w:left w:type="dxa" w:w="150"/>
              <w:bottom w:type="dxa" w:w="100"/>
              <w:right w:type="dxa" w:w="150"/>
            </w:tcMar>
          </w:tcPr>
          <w:p>
            <w:r>
              <w:rPr>
                <w:rFonts w:ascii="Inter" w:cs="Inter" w:eastAsia="Inter" w:hAnsi="Inter"/>
                <w:b/>
                <w:bCs/>
                <w:color w:val="FFFFFF"/>
                <w:sz w:val="20"/>
                <w:szCs w:val="20"/>
              </w:rPr>
              <w:t xml:space="preserve">Question</w:t>
            </w:r>
          </w:p>
        </w:tc>
        <w:tc>
          <w:tcPr>
            <w:tcW w:type="dxa" w:w="6000"/>
            <w:tcBorders>
              <w:top w:val="single" w:color="B8BCC2" w:sz="4"/>
              <w:left w:val="single" w:color="B8BCC2" w:sz="4"/>
              <w:bottom w:val="single" w:color="B8BCC2" w:sz="4"/>
              <w:right w:val="single" w:color="B8BCC2" w:sz="4"/>
            </w:tcBorders>
            <w:shd w:fill="AF0000" w:val="clear"/>
            <w:tcMar>
              <w:top w:type="dxa" w:w="100"/>
              <w:left w:type="dxa" w:w="150"/>
              <w:bottom w:type="dxa" w:w="100"/>
              <w:right w:type="dxa" w:w="150"/>
            </w:tcMar>
          </w:tcPr>
          <w:p>
            <w:r>
              <w:rPr>
                <w:rFonts w:ascii="Inter" w:cs="Inter" w:eastAsia="Inter" w:hAnsi="Inter"/>
                <w:b/>
                <w:bCs/>
                <w:color w:val="FFFFFF"/>
                <w:sz w:val="20"/>
                <w:szCs w:val="20"/>
              </w:rPr>
              <w:t xml:space="preserve">Implication</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Does Trifork want to respond to this PME?</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Yes is the clear recommendation. Entry cost is minimal, a questionnaire response, and the requirement is a strong fit for Trifork's secure platform engineering, evidenced by real delivered work.</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Which elements of the scope should Trifork lead on?</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Secure platform engineering and data governance are the strongest documented fit. System integration is a natural secondary strength.</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What proof points should be presented?</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The four documented case studies (&amp;Money, Nordjyllandsfonden, ALai, AI Mail Assist) should be presented honestly, as adjacent financial-services and regulated-sector evidence, not as direct settlement or UK public sector experience, since they are neither.</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Is a partnership required?</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Not yet determined. No delivery model has been set by LCCC. This question is better addressed once the procurement route and scale are known, following this PME.</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What must be confirmed before any future tender?</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Trifork's UK security clearance position, and confirmation of whether the eventual procurement runs via an existing framework Trifork would need to access.</w:t>
            </w:r>
          </w:p>
        </w:tc>
      </w:tr>
    </w:tbl>
    <w:p/>
    <w:p>
      <w:pPr>
        <w:spacing w:after="150" w:before="300"/>
      </w:pPr>
      <w:r>
        <w:rPr>
          <w:rFonts w:ascii="Inter" w:cs="Inter" w:eastAsia="Inter" w:hAnsi="Inter"/>
          <w:b/>
          <w:bCs/>
          <w:color w:val="AF0000"/>
          <w:sz w:val="26"/>
          <w:szCs w:val="26"/>
        </w:rPr>
        <w:t xml:space="preserve">8. IMMEDIATE ACTIONS REQUIRED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B8BCC2" w:sz="4"/>
              <w:left w:val="single" w:color="B8BCC2" w:sz="4"/>
              <w:bottom w:val="single" w:color="B8BCC2" w:sz="4"/>
              <w:right w:val="single" w:color="B8BCC2" w:sz="4"/>
            </w:tcBorders>
            <w:shd w:fill="AF0000" w:val="clear"/>
            <w:tcMar>
              <w:top w:type="dxa" w:w="100"/>
              <w:left w:type="dxa" w:w="150"/>
              <w:bottom w:type="dxa" w:w="100"/>
              <w:right w:type="dxa" w:w="150"/>
            </w:tcMar>
          </w:tcPr>
          <w:p>
            <w:r>
              <w:rPr>
                <w:rFonts w:ascii="Inter" w:cs="Inter" w:eastAsia="Inter" w:hAnsi="Inter"/>
                <w:b/>
                <w:bCs/>
                <w:color w:val="FFFFFF"/>
                <w:sz w:val="20"/>
                <w:szCs w:val="20"/>
              </w:rPr>
              <w:t xml:space="preserve">Action</w:t>
            </w:r>
          </w:p>
        </w:tc>
        <w:tc>
          <w:tcPr>
            <w:tcW w:type="dxa" w:w="6000"/>
            <w:tcBorders>
              <w:top w:val="single" w:color="B8BCC2" w:sz="4"/>
              <w:left w:val="single" w:color="B8BCC2" w:sz="4"/>
              <w:bottom w:val="single" w:color="B8BCC2" w:sz="4"/>
              <w:right w:val="single" w:color="B8BCC2" w:sz="4"/>
            </w:tcBorders>
            <w:shd w:fill="AF0000" w:val="clear"/>
            <w:tcMar>
              <w:top w:type="dxa" w:w="100"/>
              <w:left w:type="dxa" w:w="150"/>
              <w:bottom w:type="dxa" w:w="100"/>
              <w:right w:type="dxa" w:w="150"/>
            </w:tcMar>
          </w:tcPr>
          <w:p>
            <w:r>
              <w:rPr>
                <w:rFonts w:ascii="Inter" w:cs="Inter" w:eastAsia="Inter" w:hAnsi="Inter"/>
                <w:b/>
                <w:bCs/>
                <w:color w:val="FFFFFF"/>
                <w:sz w:val="20"/>
                <w:szCs w:val="20"/>
              </w:rPr>
              <w:t xml:space="preserve">Owner and deadline</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Register on the LCCC Delta e-Sourcing portal (lccc.delta-esourcing.com) and complete the PME questionnaire.</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Trifork commercial lead with Bid Savvy support. By 14 August 2026, 12 noon.</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Prepare a short capability summary drawing on the four documented case studies, presented candidly as adjacent evidence rather than direct settlement experience.</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Trifork engineering and product leads with Bid Savvy support. Before 14 August 2026.</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Confirm Trifork's current UK security clearance position (SC or DV) for any staff who could credibly be proposed on this engagement.</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Trifork commercial lead. Before 14 August 2026, for inclusion in the response if relevant.</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Set a Find a Tender alert on LCCC and this reference (CRN2026-014) to capture any future procurement notice.</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Bid Savvy. This week.</w:t>
            </w:r>
          </w:p>
        </w:tc>
      </w:tr>
    </w:tbl>
    <w:p/>
    <w:p>
      <w:pPr>
        <w:spacing w:after="150" w:before="300"/>
      </w:pPr>
      <w:r>
        <w:rPr>
          <w:rFonts w:ascii="Inter" w:cs="Inter" w:eastAsia="Inter" w:hAnsi="Inter"/>
          <w:b/>
          <w:bCs/>
          <w:color w:val="AF0000"/>
          <w:sz w:val="26"/>
          <w:szCs w:val="26"/>
        </w:rPr>
        <w:t xml:space="preserve">9. SOLO OR PARTNER RECOMMENDATION</w:t>
      </w:r>
    </w:p>
    <w:p>
      <w:pPr>
        <w:spacing w:after="150"/>
      </w:pPr>
      <w:r>
        <w:rPr>
          <w:rFonts w:ascii="Inter" w:cs="Inter" w:eastAsia="Inter" w:hAnsi="Inter"/>
          <w:color w:val="000000"/>
          <w:sz w:val="20"/>
          <w:szCs w:val="20"/>
        </w:rPr>
        <w:t xml:space="preserve">Solo at PME stage. Trifork should respond to this engagement in its own name, presenting its secure platform engineering capability, backed by real delivered case work, as the primary offer. No delivery model has been set by LCCC, so it is premature to identify a partnership need.</w:t>
      </w:r>
    </w:p>
    <w:p>
      <w:pPr>
        <w:spacing w:after="150"/>
      </w:pPr>
      <w:r>
        <w:rPr>
          <w:rFonts w:ascii="Inter" w:cs="Inter" w:eastAsia="Inter" w:hAnsi="Inter"/>
          <w:color w:val="000000"/>
          <w:sz w:val="20"/>
          <w:szCs w:val="20"/>
        </w:rPr>
        <w:t xml:space="preserve">Once LCCC's procurement strategy and route to market are confirmed following this PME, the partnership question should be revisited in light of the actual scale, delivery model and any framework requirement that emerges.</w:t>
      </w:r>
    </w:p>
    <w:p/>
    <w:p>
      <w:pPr>
        <w:spacing w:after="150" w:before="300"/>
      </w:pPr>
      <w:r>
        <w:rPr>
          <w:rFonts w:ascii="Inter" w:cs="Inter" w:eastAsia="Inter" w:hAnsi="Inter"/>
          <w:b/>
          <w:bCs/>
          <w:color w:val="AF0000"/>
          <w:sz w:val="26"/>
          <w:szCs w:val="26"/>
        </w:rPr>
        <w:t xml:space="preserve">10. SUMMARY DECISION PACK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B8BCC2" w:sz="4"/>
              <w:left w:val="single" w:color="B8BCC2" w:sz="4"/>
              <w:bottom w:val="single" w:color="B8BCC2" w:sz="4"/>
              <w:right w:val="single" w:color="B8BCC2" w:sz="4"/>
            </w:tcBorders>
            <w:shd w:fill="AF0000" w:val="clear"/>
            <w:tcMar>
              <w:top w:type="dxa" w:w="100"/>
              <w:left w:type="dxa" w:w="150"/>
              <w:bottom w:type="dxa" w:w="100"/>
              <w:right w:type="dxa" w:w="150"/>
            </w:tcMar>
          </w:tcPr>
          <w:p>
            <w:r>
              <w:rPr>
                <w:rFonts w:ascii="Inter" w:cs="Inter" w:eastAsia="Inter" w:hAnsi="Inter"/>
                <w:b/>
                <w:bCs/>
                <w:color w:val="FFFFFF"/>
                <w:sz w:val="20"/>
                <w:szCs w:val="20"/>
              </w:rPr>
              <w:t xml:space="preserve">Field</w:t>
            </w:r>
          </w:p>
        </w:tc>
        <w:tc>
          <w:tcPr>
            <w:tcW w:type="dxa" w:w="6000"/>
            <w:tcBorders>
              <w:top w:val="single" w:color="B8BCC2" w:sz="4"/>
              <w:left w:val="single" w:color="B8BCC2" w:sz="4"/>
              <w:bottom w:val="single" w:color="B8BCC2" w:sz="4"/>
              <w:right w:val="single" w:color="B8BCC2" w:sz="4"/>
            </w:tcBorders>
            <w:shd w:fill="AF0000" w:val="clear"/>
            <w:tcMar>
              <w:top w:type="dxa" w:w="100"/>
              <w:left w:type="dxa" w:w="150"/>
              <w:bottom w:type="dxa" w:w="100"/>
              <w:right w:type="dxa" w:w="150"/>
            </w:tcMar>
          </w:tcPr>
          <w:p>
            <w:r>
              <w:rPr>
                <w:rFonts w:ascii="Inter" w:cs="Inter" w:eastAsia="Inter" w:hAnsi="Inter"/>
                <w:b/>
                <w:bCs/>
                <w:color w:val="FFFFFF"/>
                <w:sz w:val="20"/>
                <w:szCs w:val="20"/>
              </w:rPr>
              <w:t xml:space="preserve">Detail</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Opportunity</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Preliminary Market Engagement, CfD Settlement Services Platform</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Buyer</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Low Carbon Contracts Company Ltd</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Reference</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CRN2026-014</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Estimated value</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Not stated</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Contract term</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Not yet determined</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Capability fit</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HIGH: secure transactional platform engineering for regulated financial and utility clients, evidenced by four delivered case studies</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Competitive risk</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MED: no identified incumbent, but a specialist field with established players who may also respond</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Right to win</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MED: framework route and UK clearance position not yet confirmed; available evidence is adjacent, not settlement-specific or UK public sector; low-cost entry supports early engagement regardless</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Recommended action</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Register on Delta e-Sourcing and submit the PME questionnaire by 14 August 2026, 12 noon</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Next deadline</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14 August 2026, 12 noon: PME questionnaire response</w:t>
            </w:r>
          </w:p>
        </w:tc>
      </w:tr>
      <w:tr>
        <w:tc>
          <w:tcPr>
            <w:tcW w:type="dxa" w:w="3000"/>
            <w:tcBorders>
              <w:top w:val="single" w:color="B8BCC2" w:sz="4"/>
              <w:left w:val="single" w:color="B8BCC2" w:sz="4"/>
              <w:bottom w:val="single" w:color="B8BCC2" w:sz="4"/>
              <w:right w:val="single" w:color="B8BCC2" w:sz="4"/>
            </w:tcBorders>
            <w:shd w:fill="F5F5F5" w:val="clear"/>
            <w:tcMar>
              <w:top w:type="dxa" w:w="100"/>
              <w:left w:type="dxa" w:w="150"/>
              <w:bottom w:type="dxa" w:w="100"/>
              <w:right w:type="dxa" w:w="150"/>
            </w:tcMar>
          </w:tcPr>
          <w:p>
            <w:r>
              <w:rPr>
                <w:rFonts w:ascii="Inter" w:cs="Inter" w:eastAsia="Inter" w:hAnsi="Inter"/>
                <w:b/>
                <w:bCs/>
                <w:color w:val="000000"/>
                <w:sz w:val="20"/>
                <w:szCs w:val="20"/>
              </w:rPr>
              <w:t xml:space="preserve">Sources</w:t>
            </w:r>
          </w:p>
        </w:tc>
        <w:tc>
          <w:tcPr>
            <w:tcW w:type="dxa" w:w="6000"/>
            <w:tcBorders>
              <w:top w:val="single" w:color="B8BCC2" w:sz="4"/>
              <w:left w:val="single" w:color="B8BCC2" w:sz="4"/>
              <w:bottom w:val="single" w:color="B8BCC2" w:sz="4"/>
              <w:right w:val="single" w:color="B8BCC2" w:sz="4"/>
            </w:tcBorders>
            <w:tcMar>
              <w:top w:type="dxa" w:w="100"/>
              <w:left w:type="dxa" w:w="150"/>
              <w:bottom w:type="dxa" w:w="100"/>
              <w:right w:type="dxa" w:w="150"/>
            </w:tcMar>
          </w:tcPr>
          <w:p>
            <w:r>
              <w:rPr>
                <w:rFonts w:ascii="Inter" w:cs="Inter" w:eastAsia="Inter" w:hAnsi="Inter"/>
                <w:color w:val="000000"/>
                <w:sz w:val="20"/>
                <w:szCs w:val="20"/>
              </w:rPr>
              <w:t xml:space="preserve">Find a Tender notice UK2, reference CRN2026-014, published 3 July 2026. Case study evidence from the Trifork / Erlang Solutions Bid Library (verified case study record). All facts taken from source documents; no value or delivery model has been stated by LCCC.</w:t>
            </w:r>
          </w:p>
        </w:tc>
      </w:tr>
    </w:tbl>
    <w:p/>
    <w:p>
      <w:r>
        <w:rPr>
          <w:rFonts w:ascii="Inter" w:cs="Inter" w:eastAsia="Inter" w:hAnsi="Inter"/>
          <w:i/>
          <w:iCs/>
          <w:color w:val="3A3A3A"/>
          <w:sz w:val="18"/>
          <w:szCs w:val="18"/>
        </w:rPr>
        <w:t xml:space="preserve">Prepared by Victoria Milan, Bid Director, Bid Savvy Solutions Ltd</w:t>
      </w:r>
    </w:p>
    <w:p>
      <w:r>
        <w:rPr>
          <w:rFonts w:ascii="Inter" w:cs="Inter" w:eastAsia="Inter" w:hAnsi="Inter"/>
          <w:i/>
          <w:iCs/>
          <w:color w:val="3A3A3A"/>
          <w:sz w:val="18"/>
          <w:szCs w:val="18"/>
        </w:rPr>
        <w:t xml:space="preserve">Victoria.Milan@bidsavvy.co.uk | Confidential | Not for circulation beyond Trifork UK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29E6E93966A442A44D9F4185F139AD" ma:contentTypeVersion="11" ma:contentTypeDescription="Create a new document." ma:contentTypeScope="" ma:versionID="96ba3d8021cc92add38d8ae7b0f69f6b">
  <xsd:schema xmlns:xsd="http://www.w3.org/2001/XMLSchema" xmlns:xs="http://www.w3.org/2001/XMLSchema" xmlns:p="http://schemas.microsoft.com/office/2006/metadata/properties" xmlns:ns2="47f3d58d-801f-479a-951b-2415a88ed6ba" xmlns:ns3="4bd8c4b4-23d7-48ec-a116-a20be509214c" targetNamespace="http://schemas.microsoft.com/office/2006/metadata/properties" ma:root="true" ma:fieldsID="5d259bb08d8fede48a456216c769d4fc" ns2:_="" ns3:_="">
    <xsd:import namespace="47f3d58d-801f-479a-951b-2415a88ed6ba"/>
    <xsd:import namespace="4bd8c4b4-23d7-48ec-a116-a20be50921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f3d58d-801f-479a-951b-2415a88ed6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c947fc1-8761-4722-9bce-1c75e296fcd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bd8c4b4-23d7-48ec-a116-a20be509214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ec10d13-4185-47df-97c1-805862db4e87}" ma:internalName="TaxCatchAll" ma:showField="CatchAllData" ma:web="4bd8c4b4-23d7-48ec-a116-a20be50921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7f3d58d-801f-479a-951b-2415a88ed6ba">
      <Terms xmlns="http://schemas.microsoft.com/office/infopath/2007/PartnerControls"/>
    </lcf76f155ced4ddcb4097134ff3c332f>
    <TaxCatchAll xmlns="4bd8c4b4-23d7-48ec-a116-a20be509214c" xsi:nil="true"/>
  </documentManagement>
</p:properties>
</file>

<file path=customXml/itemProps1.xml><?xml version="1.0" encoding="utf-8"?>
<ds:datastoreItem xmlns:ds="http://schemas.openxmlformats.org/officeDocument/2006/customXml" ds:itemID="{9C165F08-217F-4D0D-BCDB-4E60A7949554}"/>
</file>

<file path=customXml/itemProps2.xml><?xml version="1.0" encoding="utf-8"?>
<ds:datastoreItem xmlns:ds="http://schemas.openxmlformats.org/officeDocument/2006/customXml" ds:itemID="{62E1F64C-2503-49AA-A524-6BC65D478DA8}"/>
</file>

<file path=customXml/itemProps3.xml><?xml version="1.0" encoding="utf-8"?>
<ds:datastoreItem xmlns:ds="http://schemas.openxmlformats.org/officeDocument/2006/customXml" ds:itemID="{55A319D4-40A2-46A5-9D38-728CDC6CAC0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2026-08-06T06:43:10Z</dcterms:created>
  <dcterms:modified xsi:type="dcterms:W3CDTF">2026-08-06T06:43:10Z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0x010100E629E6E93966A442A44D9F4185F139AD</vt:lpwstr>
  </property>
</Properties>
</file>