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00"/>
      </w:tblGrid>
      <w:tr xmlns:wp14="http://schemas.microsoft.com/office/word/2010/wordml" w:rsidTr="477DD410" w14:paraId="0795DAF1" wp14:textId="77777777">
        <w:tc>
          <w:tcPr>
            <w:tcW w:w="9000" w:type="dxa"/>
            <w:shd w:val="clear" w:color="auto" w:fill="AF0000"/>
            <w:tcMar>
              <w:top w:w="200" w:type="dxa"/>
              <w:left w:w="250" w:type="dxa"/>
              <w:bottom w:w="200" w:type="dxa"/>
              <w:right w:w="250" w:type="dxa"/>
            </w:tcMar>
          </w:tcPr>
          <w:p w14:paraId="16BBFBAB" wp14:textId="77777777">
            <w:r>
              <w:rPr>
                <w:rFonts w:ascii="Inter" w:hAnsi="Inter" w:eastAsia="Inter" w:cs="Inter"/>
                <w:b/>
                <w:bCs/>
                <w:color w:val="FFFFFF"/>
                <w:sz w:val="20"/>
                <w:szCs w:val="20"/>
              </w:rPr>
              <w:t xml:space="preserve">INTERNAL ADDENDUM | NOT FOR CLIENT DISTRIBUTION</w:t>
            </w:r>
          </w:p>
          <w:p w14:paraId="1C546B6C" wp14:textId="77777777">
            <w:pPr>
              <w:spacing w:before="100"/>
            </w:pPr>
            <w:r w:rsidRPr="477DD410" w:rsidR="477DD410">
              <w:rPr>
                <w:rFonts w:ascii="Inter" w:hAnsi="Inter" w:eastAsia="Inter" w:cs="Inter"/>
                <w:b w:val="1"/>
                <w:bCs w:val="1"/>
                <w:color w:val="FFFFFF"/>
                <w:sz w:val="28"/>
                <w:szCs w:val="28"/>
                <w:lang w:val="en-US"/>
              </w:rPr>
              <w:t>Preliminary Market Engagement – CfD Settlement Services Platform</w:t>
            </w:r>
          </w:p>
          <w:p w14:paraId="1D2E9BA1" wp14:textId="77777777">
            <w:pPr>
              <w:spacing w:before="100"/>
            </w:pPr>
            <w:r>
              <w:rPr>
                <w:rFonts w:ascii="Inter" w:hAnsi="Inter" w:eastAsia="Inter" w:cs="Inter"/>
                <w:color w:val="FFFFFF"/>
                <w:sz w:val="20"/>
                <w:szCs w:val="20"/>
              </w:rPr>
              <w:t xml:space="preserve">Low Carbon Contracts Company Ltd | Reference: CRN2026-014 | Pipeline ref: N041</w:t>
            </w:r>
          </w:p>
          <w:p w14:paraId="7FB0A559" wp14:textId="77777777">
            <w:r>
              <w:rPr>
                <w:rFonts w:ascii="Inter" w:hAnsi="Inter" w:eastAsia="Inter" w:cs="Inter"/>
                <w:color w:val="FFFFFF"/>
                <w:sz w:val="20"/>
                <w:szCs w:val="20"/>
              </w:rPr>
              <w:t xml:space="preserve">Prepared by Mark De Leon, Bid Savvy Solutions Ltd | 05 August 2026 (Corrected)</w:t>
            </w:r>
          </w:p>
        </w:tc>
      </w:tr>
    </w:tbl>
    <w:p xmlns:wp14="http://schemas.microsoft.com/office/word/2010/wordml" w14:paraId="672A6659" wp14:textId="77777777"/>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00"/>
      </w:tblGrid>
      <w:tr xmlns:wp14="http://schemas.microsoft.com/office/word/2010/wordml" w:rsidTr="477DD410" w14:paraId="5452F048" wp14:textId="77777777">
        <w:tc>
          <w:tcPr>
            <w:tcW w:w="9000" w:type="dxa"/>
            <w:tcBorders>
              <w:top w:val="single" w:color="AF0000" w:sz="4"/>
              <w:left w:val="single" w:color="AF0000" w:sz="4"/>
              <w:bottom w:val="single" w:color="AF0000" w:sz="4"/>
              <w:right w:val="single" w:color="AF0000" w:sz="4"/>
            </w:tcBorders>
            <w:shd w:val="clear" w:color="auto" w:fill="FDF0F0"/>
            <w:tcMar>
              <w:top w:w="150" w:type="dxa"/>
              <w:left w:w="200" w:type="dxa"/>
              <w:bottom w:w="150" w:type="dxa"/>
              <w:right w:w="200" w:type="dxa"/>
            </w:tcMar>
          </w:tcPr>
          <w:p w14:paraId="37FA99F7" wp14:textId="77777777">
            <w:r w:rsidRPr="477DD410" w:rsidR="477DD410">
              <w:rPr>
                <w:rFonts w:ascii="Inter" w:hAnsi="Inter" w:eastAsia="Inter" w:cs="Inter"/>
                <w:color w:val="000000"/>
                <w:sz w:val="20"/>
                <w:szCs w:val="20"/>
                <w:lang w:val="en-US"/>
              </w:rPr>
              <w:t>Internal use only. This document is for Victoria Milan's use only. It contains triage gate outcomes, scouting rationale, open blockers, and direct asks for Trifork. It must not be shared with Trifork or any external party.</w:t>
            </w:r>
          </w:p>
        </w:tc>
      </w:tr>
    </w:tbl>
    <w:p xmlns:wp14="http://schemas.microsoft.com/office/word/2010/wordml" w14:paraId="0A37501D" wp14:textId="77777777"/>
    <w:p xmlns:wp14="http://schemas.microsoft.com/office/word/2010/wordml" w14:paraId="40B78CDA" wp14:textId="77777777">
      <w:pPr>
        <w:spacing w:before="300" w:after="150"/>
      </w:pPr>
      <w:r>
        <w:rPr>
          <w:rFonts w:ascii="Inter" w:hAnsi="Inter" w:eastAsia="Inter" w:cs="Inter"/>
          <w:b/>
          <w:bCs/>
          <w:color w:val="AF0000"/>
          <w:sz w:val="26"/>
          <w:szCs w:val="26"/>
        </w:rPr>
        <w:t xml:space="preserve">A. TRIAGE GATE SUMMARY</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xmlns:wp14="http://schemas.microsoft.com/office/word/2010/wordml" w:rsidTr="477DD410" w14:paraId="72E3FC45" wp14:textId="77777777">
        <w:tc>
          <w:tcPr>
            <w:tcW w:w="3000" w:type="dxa"/>
            <w:tcBorders>
              <w:top w:val="single" w:color="B8BCC2" w:sz="4"/>
              <w:left w:val="single" w:color="B8BCC2" w:sz="4"/>
              <w:bottom w:val="single" w:color="B8BCC2" w:sz="4"/>
              <w:right w:val="single" w:color="B8BCC2" w:sz="4"/>
            </w:tcBorders>
            <w:shd w:val="clear" w:color="auto" w:fill="AF0000"/>
            <w:tcMar>
              <w:top w:w="100" w:type="dxa"/>
              <w:left w:w="150" w:type="dxa"/>
              <w:bottom w:w="100" w:type="dxa"/>
              <w:right w:w="150" w:type="dxa"/>
            </w:tcMar>
          </w:tcPr>
          <w:p w14:paraId="7EF47AEC" wp14:textId="77777777">
            <w:r>
              <w:rPr>
                <w:rFonts w:ascii="Inter" w:hAnsi="Inter" w:eastAsia="Inter" w:cs="Inter"/>
                <w:b/>
                <w:bCs/>
                <w:color w:val="FFFFFF"/>
                <w:sz w:val="20"/>
                <w:szCs w:val="20"/>
              </w:rPr>
              <w:t xml:space="preserve">Gate</w:t>
            </w:r>
          </w:p>
        </w:tc>
        <w:tc>
          <w:tcPr>
            <w:tcW w:w="6000" w:type="dxa"/>
            <w:tcBorders>
              <w:top w:val="single" w:color="B8BCC2" w:sz="4"/>
              <w:left w:val="single" w:color="B8BCC2" w:sz="4"/>
              <w:bottom w:val="single" w:color="B8BCC2" w:sz="4"/>
              <w:right w:val="single" w:color="B8BCC2" w:sz="4"/>
            </w:tcBorders>
            <w:shd w:val="clear" w:color="auto" w:fill="AF0000"/>
            <w:tcMar>
              <w:top w:w="100" w:type="dxa"/>
              <w:left w:w="150" w:type="dxa"/>
              <w:bottom w:w="100" w:type="dxa"/>
              <w:right w:w="150" w:type="dxa"/>
            </w:tcMar>
          </w:tcPr>
          <w:p w14:paraId="70DE9F48" wp14:textId="77777777">
            <w:r>
              <w:rPr>
                <w:rFonts w:ascii="Inter" w:hAnsi="Inter" w:eastAsia="Inter" w:cs="Inter"/>
                <w:b/>
                <w:bCs/>
                <w:color w:val="FFFFFF"/>
                <w:sz w:val="20"/>
                <w:szCs w:val="20"/>
              </w:rPr>
              <w:t xml:space="preserve">Outcome</w:t>
            </w:r>
          </w:p>
        </w:tc>
      </w:tr>
      <w:tr xmlns:wp14="http://schemas.microsoft.com/office/word/2010/wordml" w:rsidTr="477DD410" w14:paraId="5E7D0526"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3701D173" wp14:textId="77777777">
            <w:r>
              <w:rPr>
                <w:rFonts w:ascii="Inter" w:hAnsi="Inter" w:eastAsia="Inter" w:cs="Inter"/>
                <w:b/>
                <w:bCs/>
                <w:color w:val="000000"/>
                <w:sz w:val="20"/>
                <w:szCs w:val="20"/>
              </w:rPr>
              <w:t xml:space="preserve">Gate 1: Sector</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7FB97F32" wp14:textId="77777777">
            <w:r w:rsidRPr="477DD410" w:rsidR="477DD410">
              <w:rPr>
                <w:rFonts w:ascii="Inter" w:hAnsi="Inter" w:eastAsia="Inter" w:cs="Inter"/>
                <w:color w:val="000000"/>
                <w:sz w:val="20"/>
                <w:szCs w:val="20"/>
                <w:lang w:val="en-US"/>
              </w:rPr>
              <w:t>FLAG. Low Carbon Contracts Company is a public authority, central government, delivering CfD settlement on behalf of DESNZ. Energy is a confirmed Mark sector. No boundary question.</w:t>
            </w:r>
          </w:p>
        </w:tc>
      </w:tr>
      <w:tr xmlns:wp14="http://schemas.microsoft.com/office/word/2010/wordml" w:rsidTr="477DD410" w14:paraId="6DC9C39C"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598191E5" wp14:textId="77777777">
            <w:r>
              <w:rPr>
                <w:rFonts w:ascii="Inter" w:hAnsi="Inter" w:eastAsia="Inter" w:cs="Inter"/>
                <w:b/>
                <w:bCs/>
                <w:color w:val="000000"/>
                <w:sz w:val="20"/>
                <w:szCs w:val="20"/>
              </w:rPr>
              <w:t xml:space="preserve">Gate 2: Type of work</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18ECEC59" wp14:textId="77777777">
            <w:r>
              <w:rPr>
                <w:rFonts w:ascii="Inter" w:hAnsi="Inter" w:eastAsia="Inter" w:cs="Inter"/>
                <w:color w:val="000000"/>
                <w:sz w:val="20"/>
                <w:szCs w:val="20"/>
              </w:rPr>
              <w:t xml:space="preserve">FLAG. Data collection and validation, settlement calculations, reconciliation, billing, payment processing, reporting, auditability, system integration. CPV 72220000, 72225000, both systems/technical consultancy categories, no packaged-product signal.</w:t>
            </w:r>
          </w:p>
        </w:tc>
      </w:tr>
      <w:tr xmlns:wp14="http://schemas.microsoft.com/office/word/2010/wordml" w:rsidTr="477DD410" w14:paraId="0C052BD4"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6550E064" wp14:textId="77777777">
            <w:r>
              <w:rPr>
                <w:rFonts w:ascii="Inter" w:hAnsi="Inter" w:eastAsia="Inter" w:cs="Inter"/>
                <w:b/>
                <w:bCs/>
                <w:color w:val="000000"/>
                <w:sz w:val="20"/>
                <w:szCs w:val="20"/>
              </w:rPr>
              <w:t xml:space="preserve">Gate 3: Stage</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641ECD1A" wp14:textId="77777777">
            <w:r>
              <w:rPr>
                <w:rFonts w:ascii="Inter" w:hAnsi="Inter" w:eastAsia="Inter" w:cs="Inter"/>
                <w:color w:val="000000"/>
                <w:sz w:val="20"/>
                <w:szCs w:val="20"/>
              </w:rPr>
              <w:t xml:space="preserve">UK2. Preliminary Market Engagement. No solution, delivery model or procurement route committed yet.</w:t>
            </w:r>
          </w:p>
        </w:tc>
      </w:tr>
      <w:tr xmlns:wp14="http://schemas.microsoft.com/office/word/2010/wordml" w:rsidTr="477DD410" w14:paraId="70724A76"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1920812C" wp14:textId="77777777">
            <w:r>
              <w:rPr>
                <w:rFonts w:ascii="Inter" w:hAnsi="Inter" w:eastAsia="Inter" w:cs="Inter"/>
                <w:b/>
                <w:bCs/>
                <w:color w:val="000000"/>
                <w:sz w:val="20"/>
                <w:szCs w:val="20"/>
              </w:rPr>
              <w:t xml:space="preserve">Gate 4: Window</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794762EF" wp14:textId="77777777">
            <w:r>
              <w:rPr>
                <w:rFonts w:ascii="Inter" w:hAnsi="Inter" w:eastAsia="Inter" w:cs="Inter"/>
                <w:color w:val="000000"/>
                <w:sz w:val="20"/>
                <w:szCs w:val="20"/>
              </w:rPr>
              <w:t xml:space="preserve">OPEN. Engagement deadline 14 August 2026, 12 noon. Live.</w:t>
            </w:r>
          </w:p>
        </w:tc>
      </w:tr>
      <w:tr xmlns:wp14="http://schemas.microsoft.com/office/word/2010/wordml" w:rsidTr="477DD410" w14:paraId="7239715E"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179E8ACA" wp14:textId="77777777">
            <w:r>
              <w:rPr>
                <w:rFonts w:ascii="Inter" w:hAnsi="Inter" w:eastAsia="Inter" w:cs="Inter"/>
                <w:b/>
                <w:bCs/>
                <w:color w:val="000000"/>
                <w:sz w:val="20"/>
                <w:szCs w:val="20"/>
              </w:rPr>
              <w:t xml:space="preserve">Gate 5: Framework</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0E93FE0B" wp14:textId="77777777">
            <w:r w:rsidRPr="477DD410" w:rsidR="477DD410">
              <w:rPr>
                <w:rFonts w:ascii="Inter" w:hAnsi="Inter" w:eastAsia="Inter" w:cs="Inter"/>
                <w:color w:val="000000"/>
                <w:sz w:val="20"/>
                <w:szCs w:val="20"/>
                <w:lang w:val="en-US"/>
              </w:rPr>
              <w:t>Route not yet decided. LCCC states explicitly this PME will inform its future procurement strategy; no framework named.</w:t>
            </w:r>
          </w:p>
        </w:tc>
      </w:tr>
    </w:tbl>
    <w:p xmlns:wp14="http://schemas.microsoft.com/office/word/2010/wordml" w14:paraId="5DAB6C7B" wp14:textId="77777777"/>
    <w:p xmlns:wp14="http://schemas.microsoft.com/office/word/2010/wordml" w14:paraId="119EF6A9" wp14:textId="77777777">
      <w:pPr>
        <w:spacing w:before="300" w:after="150"/>
      </w:pPr>
      <w:r>
        <w:rPr>
          <w:rFonts w:ascii="Inter" w:hAnsi="Inter" w:eastAsia="Inter" w:cs="Inter"/>
          <w:b/>
          <w:bCs/>
          <w:color w:val="AF0000"/>
          <w:sz w:val="26"/>
          <w:szCs w:val="26"/>
        </w:rPr>
        <w:t xml:space="preserve">B. SCOUTING ASSESSMENT</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xmlns:wp14="http://schemas.microsoft.com/office/word/2010/wordml" w:rsidTr="477DD410" w14:paraId="221A24FC" wp14:textId="77777777">
        <w:tc>
          <w:tcPr>
            <w:tcW w:w="3000" w:type="dxa"/>
            <w:tcBorders>
              <w:top w:val="single" w:color="B8BCC2" w:sz="4"/>
              <w:left w:val="single" w:color="B8BCC2" w:sz="4"/>
              <w:bottom w:val="single" w:color="B8BCC2" w:sz="4"/>
              <w:right w:val="single" w:color="B8BCC2" w:sz="4"/>
            </w:tcBorders>
            <w:shd w:val="clear" w:color="auto" w:fill="AF0000"/>
            <w:tcMar>
              <w:top w:w="100" w:type="dxa"/>
              <w:left w:w="150" w:type="dxa"/>
              <w:bottom w:w="100" w:type="dxa"/>
              <w:right w:w="150" w:type="dxa"/>
            </w:tcMar>
          </w:tcPr>
          <w:p w14:paraId="4DE3DC5E" wp14:textId="77777777">
            <w:r>
              <w:rPr>
                <w:rFonts w:ascii="Inter" w:hAnsi="Inter" w:eastAsia="Inter" w:cs="Inter"/>
                <w:b/>
                <w:bCs/>
                <w:color w:val="FFFFFF"/>
                <w:sz w:val="20"/>
                <w:szCs w:val="20"/>
              </w:rPr>
              <w:t xml:space="preserve">Field</w:t>
            </w:r>
          </w:p>
        </w:tc>
        <w:tc>
          <w:tcPr>
            <w:tcW w:w="6000" w:type="dxa"/>
            <w:tcBorders>
              <w:top w:val="single" w:color="B8BCC2" w:sz="4"/>
              <w:left w:val="single" w:color="B8BCC2" w:sz="4"/>
              <w:bottom w:val="single" w:color="B8BCC2" w:sz="4"/>
              <w:right w:val="single" w:color="B8BCC2" w:sz="4"/>
            </w:tcBorders>
            <w:shd w:val="clear" w:color="auto" w:fill="AF0000"/>
            <w:tcMar>
              <w:top w:w="100" w:type="dxa"/>
              <w:left w:w="150" w:type="dxa"/>
              <w:bottom w:w="100" w:type="dxa"/>
              <w:right w:w="150" w:type="dxa"/>
            </w:tcMar>
          </w:tcPr>
          <w:p w14:paraId="3C39D6EF" wp14:textId="77777777">
            <w:r>
              <w:rPr>
                <w:rFonts w:ascii="Inter" w:hAnsi="Inter" w:eastAsia="Inter" w:cs="Inter"/>
                <w:b/>
                <w:bCs/>
                <w:color w:val="FFFFFF"/>
                <w:sz w:val="20"/>
                <w:szCs w:val="20"/>
              </w:rPr>
              <w:t xml:space="preserve">Detail</w:t>
            </w:r>
          </w:p>
        </w:tc>
      </w:tr>
      <w:tr xmlns:wp14="http://schemas.microsoft.com/office/word/2010/wordml" w:rsidTr="477DD410" w14:paraId="341F5334"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1D54ABA6" wp14:textId="77777777">
            <w:r>
              <w:rPr>
                <w:rFonts w:ascii="Inter" w:hAnsi="Inter" w:eastAsia="Inter" w:cs="Inter"/>
                <w:b/>
                <w:bCs/>
                <w:color w:val="000000"/>
                <w:sz w:val="20"/>
                <w:szCs w:val="20"/>
              </w:rPr>
              <w:t xml:space="preserve">Spotted by</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6820EBB2" wp14:textId="77777777">
            <w:r>
              <w:rPr>
                <w:rFonts w:ascii="Inter" w:hAnsi="Inter" w:eastAsia="Inter" w:cs="Inter"/>
                <w:color w:val="000000"/>
                <w:sz w:val="20"/>
                <w:szCs w:val="20"/>
              </w:rPr>
              <w:t xml:space="preserve">Mark De Leon, Bid Savvy Solutions Ltd</w:t>
            </w:r>
          </w:p>
        </w:tc>
      </w:tr>
      <w:tr xmlns:wp14="http://schemas.microsoft.com/office/word/2010/wordml" w:rsidTr="477DD410" w14:paraId="7EF7E7FF"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3E3BE496" wp14:textId="77777777">
            <w:r>
              <w:rPr>
                <w:rFonts w:ascii="Inter" w:hAnsi="Inter" w:eastAsia="Inter" w:cs="Inter"/>
                <w:b/>
                <w:bCs/>
                <w:color w:val="000000"/>
                <w:sz w:val="20"/>
                <w:szCs w:val="20"/>
              </w:rPr>
              <w:t xml:space="preserve">Date spotted</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4321FE03" wp14:textId="77777777">
            <w:r>
              <w:rPr>
                <w:rFonts w:ascii="Inter" w:hAnsi="Inter" w:eastAsia="Inter" w:cs="Inter"/>
                <w:color w:val="000000"/>
                <w:sz w:val="20"/>
                <w:szCs w:val="20"/>
              </w:rPr>
              <w:t xml:space="preserve">03 July 2026</w:t>
            </w:r>
          </w:p>
        </w:tc>
      </w:tr>
      <w:tr xmlns:wp14="http://schemas.microsoft.com/office/word/2010/wordml" w:rsidTr="477DD410" w14:paraId="4CA51526"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7972233A" wp14:textId="77777777">
            <w:r>
              <w:rPr>
                <w:rFonts w:ascii="Inter" w:hAnsi="Inter" w:eastAsia="Inter" w:cs="Inter"/>
                <w:b/>
                <w:bCs/>
                <w:color w:val="000000"/>
                <w:sz w:val="20"/>
                <w:szCs w:val="20"/>
              </w:rPr>
              <w:t xml:space="preserve">Pipeline reference</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0B2EE0F5" wp14:textId="77777777">
            <w:r>
              <w:rPr>
                <w:rFonts w:ascii="Inter" w:hAnsi="Inter" w:eastAsia="Inter" w:cs="Inter"/>
                <w:color w:val="000000"/>
                <w:sz w:val="20"/>
                <w:szCs w:val="20"/>
              </w:rPr>
              <w:t xml:space="preserve">N041</w:t>
            </w:r>
          </w:p>
        </w:tc>
      </w:tr>
      <w:tr xmlns:wp14="http://schemas.microsoft.com/office/word/2010/wordml" w:rsidTr="477DD410" w14:paraId="67F8B9DB"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7CA65BE5" wp14:textId="77777777">
            <w:r>
              <w:rPr>
                <w:rFonts w:ascii="Inter" w:hAnsi="Inter" w:eastAsia="Inter" w:cs="Inter"/>
                <w:b/>
                <w:bCs/>
                <w:color w:val="000000"/>
                <w:sz w:val="20"/>
                <w:szCs w:val="20"/>
              </w:rPr>
              <w:t xml:space="preserve">Phase 2 status</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0942E129" wp14:textId="77777777">
            <w:r>
              <w:rPr>
                <w:rFonts w:ascii="Inter" w:hAnsi="Inter" w:eastAsia="Inter" w:cs="Inter"/>
                <w:color w:val="000000"/>
                <w:sz w:val="20"/>
                <w:szCs w:val="20"/>
              </w:rPr>
              <w:t xml:space="preserve">Not yet completed. This addendum is the basis for Victoria's go/no-go before a full Phase 2 read is commissioned.</w:t>
            </w:r>
          </w:p>
        </w:tc>
      </w:tr>
      <w:tr xmlns:wp14="http://schemas.microsoft.com/office/word/2010/wordml" w:rsidTr="477DD410" w14:paraId="1A1CF8C2"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0CD88FD1" wp14:textId="77777777">
            <w:r>
              <w:rPr>
                <w:rFonts w:ascii="Inter" w:hAnsi="Inter" w:eastAsia="Inter" w:cs="Inter"/>
                <w:b/>
                <w:bCs/>
                <w:color w:val="000000"/>
                <w:sz w:val="20"/>
                <w:szCs w:val="20"/>
              </w:rPr>
              <w:t xml:space="preserve">Client brief status</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1840948D" wp14:textId="77777777">
            <w:r w:rsidRPr="477DD410" w:rsidR="477DD410">
              <w:rPr>
                <w:rFonts w:ascii="Inter" w:hAnsi="Inter" w:eastAsia="Inter" w:cs="Inter"/>
                <w:color w:val="000000"/>
                <w:sz w:val="20"/>
                <w:szCs w:val="20"/>
                <w:lang w:val="en-US"/>
              </w:rPr>
              <w:t>Drafted, corrected 05 August 2026 to reference verified case studies only. Awaiting Victoria's approval before release to Trifork.</w:t>
            </w:r>
          </w:p>
        </w:tc>
      </w:tr>
      <w:tr xmlns:wp14="http://schemas.microsoft.com/office/word/2010/wordml" w:rsidTr="477DD410" w14:paraId="72C3B286"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632E5635" wp14:textId="77777777">
            <w:r>
              <w:rPr>
                <w:rFonts w:ascii="Inter" w:hAnsi="Inter" w:eastAsia="Inter" w:cs="Inter"/>
                <w:b/>
                <w:bCs/>
                <w:color w:val="000000"/>
                <w:sz w:val="20"/>
                <w:szCs w:val="20"/>
              </w:rPr>
              <w:t xml:space="preserve">Tracker status</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72FD7F5F" wp14:textId="77777777">
            <w:r>
              <w:rPr>
                <w:rFonts w:ascii="Inter" w:hAnsi="Inter" w:eastAsia="Inter" w:cs="Inter"/>
                <w:color w:val="000000"/>
                <w:sz w:val="20"/>
                <w:szCs w:val="20"/>
              </w:rPr>
              <w:t xml:space="preserve">FLAG, HIGH capability fit, in Flag tab, My_Trifork_Pipeline_Tracker.xlsx</w:t>
            </w:r>
          </w:p>
        </w:tc>
      </w:tr>
      <w:tr xmlns:wp14="http://schemas.microsoft.com/office/word/2010/wordml" w:rsidTr="477DD410" w14:paraId="07F4F72A" wp14:textId="77777777">
        <w:tc>
          <w:tcPr>
            <w:tcW w:w="3000" w:type="dxa"/>
            <w:tcBorders>
              <w:top w:val="single" w:color="B8BCC2" w:sz="4"/>
              <w:left w:val="single" w:color="B8BCC2" w:sz="4"/>
              <w:bottom w:val="single" w:color="B8BCC2" w:sz="4"/>
              <w:right w:val="single" w:color="B8BCC2" w:sz="4"/>
            </w:tcBorders>
            <w:shd w:val="clear" w:color="auto" w:fill="F5F5F5"/>
            <w:tcMar>
              <w:top w:w="100" w:type="dxa"/>
              <w:left w:w="150" w:type="dxa"/>
              <w:bottom w:w="100" w:type="dxa"/>
              <w:right w:w="150" w:type="dxa"/>
            </w:tcMar>
          </w:tcPr>
          <w:p w14:paraId="0C2BFADE" wp14:textId="77777777">
            <w:r>
              <w:rPr>
                <w:rFonts w:ascii="Inter" w:hAnsi="Inter" w:eastAsia="Inter" w:cs="Inter"/>
                <w:b/>
                <w:bCs/>
                <w:color w:val="000000"/>
                <w:sz w:val="20"/>
                <w:szCs w:val="20"/>
              </w:rPr>
              <w:t xml:space="preserve">Notice reference</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11573FA6" wp14:textId="77777777">
            <w:r>
              <w:rPr>
                <w:rFonts w:ascii="Inter" w:hAnsi="Inter" w:eastAsia="Inter" w:cs="Inter"/>
                <w:color w:val="000000"/>
                <w:sz w:val="20"/>
                <w:szCs w:val="20"/>
              </w:rPr>
              <w:t xml:space="preserve">2026/S 000-062959, Find a Tender</w:t>
            </w:r>
          </w:p>
        </w:tc>
      </w:tr>
    </w:tbl>
    <w:p xmlns:wp14="http://schemas.microsoft.com/office/word/2010/wordml" w14:paraId="02EB378F" wp14:textId="77777777"/>
    <w:p xmlns:wp14="http://schemas.microsoft.com/office/word/2010/wordml" w14:paraId="25FF730E" wp14:textId="77777777">
      <w:pPr>
        <w:spacing w:before="300" w:after="150"/>
      </w:pPr>
      <w:r>
        <w:rPr>
          <w:rFonts w:ascii="Inter" w:hAnsi="Inter" w:eastAsia="Inter" w:cs="Inter"/>
          <w:b/>
          <w:bCs/>
          <w:color w:val="AF0000"/>
          <w:sz w:val="26"/>
          <w:szCs w:val="26"/>
        </w:rPr>
        <w:t xml:space="preserve">C. WHY THIS IS A HIGH FIT</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xmlns:wp14="http://schemas.microsoft.com/office/word/2010/wordml" w14:paraId="3362E83C" wp14:textId="77777777">
        <w:tc>
          <w:tcPr>
            <w:tcW w:w="3000" w:type="dxa"/>
            <w:tcBorders>
              <w:top w:val="single" w:color="B8BCC2" w:sz="4"/>
              <w:left w:val="single" w:color="B8BCC2" w:sz="4"/>
              <w:bottom w:val="single" w:color="B8BCC2" w:sz="4"/>
              <w:right w:val="single" w:color="B8BCC2" w:sz="4"/>
            </w:tcBorders>
            <w:shd w:val="clear" w:fill="AF0000"/>
            <w:tcMar>
              <w:top w:w="100" w:type="dxa"/>
              <w:left w:w="150" w:type="dxa"/>
              <w:bottom w:w="100" w:type="dxa"/>
              <w:right w:w="150" w:type="dxa"/>
            </w:tcMar>
          </w:tcPr>
          <w:p w14:paraId="426A0F6F" wp14:textId="77777777">
            <w:r>
              <w:rPr>
                <w:rFonts w:ascii="Inter" w:hAnsi="Inter" w:eastAsia="Inter" w:cs="Inter"/>
                <w:b/>
                <w:bCs/>
                <w:color w:val="FFFFFF"/>
                <w:sz w:val="20"/>
                <w:szCs w:val="20"/>
              </w:rPr>
              <w:t xml:space="preserve">LCCC problem</w:t>
            </w:r>
          </w:p>
        </w:tc>
        <w:tc>
          <w:tcPr>
            <w:tcW w:w="6000" w:type="dxa"/>
            <w:tcBorders>
              <w:top w:val="single" w:color="B8BCC2" w:sz="4"/>
              <w:left w:val="single" w:color="B8BCC2" w:sz="4"/>
              <w:bottom w:val="single" w:color="B8BCC2" w:sz="4"/>
              <w:right w:val="single" w:color="B8BCC2" w:sz="4"/>
            </w:tcBorders>
            <w:shd w:val="clear" w:fill="AF0000"/>
            <w:tcMar>
              <w:top w:w="100" w:type="dxa"/>
              <w:left w:w="150" w:type="dxa"/>
              <w:bottom w:w="100" w:type="dxa"/>
              <w:right w:w="150" w:type="dxa"/>
            </w:tcMar>
          </w:tcPr>
          <w:p w14:paraId="24E96B59" wp14:textId="77777777">
            <w:r>
              <w:rPr>
                <w:rFonts w:ascii="Inter" w:hAnsi="Inter" w:eastAsia="Inter" w:cs="Inter"/>
                <w:b/>
                <w:bCs/>
                <w:color w:val="FFFFFF"/>
                <w:sz w:val="20"/>
                <w:szCs w:val="20"/>
              </w:rPr>
              <w:t xml:space="preserve">Trifork capability mapping</w:t>
            </w:r>
          </w:p>
        </w:tc>
      </w:tr>
      <w:tr xmlns:wp14="http://schemas.microsoft.com/office/word/2010/wordml" w14:paraId="605DF220"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5B9DBCB5" wp14:textId="77777777">
            <w:r>
              <w:rPr>
                <w:rFonts w:ascii="Inter" w:hAnsi="Inter" w:eastAsia="Inter" w:cs="Inter"/>
                <w:b/>
                <w:bCs/>
                <w:color w:val="000000"/>
                <w:sz w:val="20"/>
                <w:szCs w:val="20"/>
              </w:rPr>
              <w:t xml:space="preserve">Settlement calculations across a growing CfD portfolio, increasing data and transaction volumes</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2BCB20CB" wp14:textId="77777777">
            <w:r>
              <w:rPr>
                <w:rFonts w:ascii="Inter" w:hAnsi="Inter" w:eastAsia="Inter" w:cs="Inter"/>
                <w:color w:val="000000"/>
                <w:sz w:val="20"/>
                <w:szCs w:val="20"/>
              </w:rPr>
              <w:t xml:space="preserve">Real-time transactional platform engineering: proven at ALai, a secure internal AI assistant built for Arbejdernes Landsbank / AL Sydbank, and &amp;Money, an AI-driven financial advisory platform used by Nykredit, AL Sydbank and BEC</w:t>
            </w:r>
          </w:p>
        </w:tc>
      </w:tr>
      <w:tr xmlns:wp14="http://schemas.microsoft.com/office/word/2010/wordml" w14:paraId="52FBFF9C"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72145C8C" wp14:textId="77777777">
            <w:r>
              <w:rPr>
                <w:rFonts w:ascii="Inter" w:hAnsi="Inter" w:eastAsia="Inter" w:cs="Inter"/>
                <w:b/>
                <w:bCs/>
                <w:color w:val="000000"/>
                <w:sz w:val="20"/>
                <w:szCs w:val="20"/>
              </w:rPr>
              <w:t xml:space="preserve">Data collection and validation across funds and mandates</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11F38C23" wp14:textId="77777777">
            <w:r>
              <w:rPr>
                <w:rFonts w:ascii="Inter" w:hAnsi="Inter" w:eastAsia="Inter" w:cs="Inter"/>
                <w:color w:val="000000"/>
                <w:sz w:val="20"/>
                <w:szCs w:val="20"/>
              </w:rPr>
              <w:t xml:space="preserve">Data platform and engineering: proven at Nordjyllandsfonden, an AI platform for application and document processing in grant and foundation administration</w:t>
            </w:r>
          </w:p>
        </w:tc>
      </w:tr>
      <w:tr xmlns:wp14="http://schemas.microsoft.com/office/word/2010/wordml" w14:paraId="1BF64FC1"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55EC60B1" wp14:textId="77777777">
            <w:r>
              <w:rPr>
                <w:rFonts w:ascii="Inter" w:hAnsi="Inter" w:eastAsia="Inter" w:cs="Inter"/>
                <w:b/>
                <w:bCs/>
                <w:color w:val="000000"/>
                <w:sz w:val="20"/>
                <w:szCs w:val="20"/>
              </w:rPr>
              <w:t xml:space="preserve">Reconciliation, billing and payment processing requiring secure, efficient, well-controlled operations</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1785592E" wp14:textId="77777777">
            <w:r>
              <w:rPr>
                <w:rFonts w:ascii="Inter" w:hAnsi="Inter" w:eastAsia="Inter" w:cs="Inter"/>
                <w:color w:val="000000"/>
                <w:sz w:val="20"/>
                <w:szCs w:val="20"/>
              </w:rPr>
              <w:t xml:space="preserve">High-resilience, secure system design demonstrated across the financial-services case work above, all delivered for regulated Danish financial institutions</w:t>
            </w:r>
          </w:p>
        </w:tc>
      </w:tr>
      <w:tr xmlns:wp14="http://schemas.microsoft.com/office/word/2010/wordml" w14:paraId="5EF5D47D"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2071FEFD" wp14:textId="77777777">
            <w:r>
              <w:rPr>
                <w:rFonts w:ascii="Inter" w:hAnsi="Inter" w:eastAsia="Inter" w:cs="Inter"/>
                <w:b/>
                <w:bCs/>
                <w:color w:val="000000"/>
                <w:sz w:val="20"/>
                <w:szCs w:val="20"/>
              </w:rPr>
              <w:t xml:space="preserve">System integration across existing LCCC and market infrastructure</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08B5AF34" wp14:textId="77777777">
            <w:r>
              <w:rPr>
                <w:rFonts w:ascii="Inter" w:hAnsi="Inter" w:eastAsia="Inter" w:cs="Inter"/>
                <w:color w:val="000000"/>
                <w:sz w:val="20"/>
                <w:szCs w:val="20"/>
              </w:rPr>
              <w:t xml:space="preserve">Engineering and Integration: backend, API and cloud engineering, architecture, integration design, evidenced across the case study portfolio</w:t>
            </w:r>
          </w:p>
        </w:tc>
      </w:tr>
      <w:tr xmlns:wp14="http://schemas.microsoft.com/office/word/2010/wordml" w14:paraId="088FC14C"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2462E8E7" wp14:textId="77777777">
            <w:r>
              <w:rPr>
                <w:rFonts w:ascii="Inter" w:hAnsi="Inter" w:eastAsia="Inter" w:cs="Inter"/>
                <w:b/>
                <w:bCs/>
                <w:color w:val="000000"/>
                <w:sz w:val="20"/>
                <w:szCs w:val="20"/>
              </w:rPr>
              <w:t xml:space="preserve">Reporting and auditability for a regulated settlement function</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0888B4F5" wp14:textId="77777777">
            <w:r>
              <w:rPr>
                <w:rFonts w:ascii="Inter" w:hAnsi="Inter" w:eastAsia="Inter" w:cs="Inter"/>
                <w:color w:val="000000"/>
                <w:sz w:val="20"/>
                <w:szCs w:val="20"/>
              </w:rPr>
              <w:t xml:space="preserve">AI Mail Assist for OK a.m.b.a. (energy sector) demonstrates automation and reporting capability in a regulated utility context</w:t>
            </w:r>
          </w:p>
        </w:tc>
      </w:tr>
    </w:tbl>
    <w:p xmlns:wp14="http://schemas.microsoft.com/office/word/2010/wordml" w14:paraId="6A05A809" wp14:textId="77777777"/>
    <w:p xmlns:wp14="http://schemas.microsoft.com/office/word/2010/wordml" w14:paraId="71C5D852" wp14:textId="77777777">
      <w:pPr>
        <w:spacing w:before="300" w:after="150"/>
      </w:pPr>
      <w:r>
        <w:rPr>
          <w:rFonts w:ascii="Inter" w:hAnsi="Inter" w:eastAsia="Inter" w:cs="Inter"/>
          <w:b/>
          <w:bCs/>
          <w:color w:val="AF0000"/>
          <w:sz w:val="26"/>
          <w:szCs w:val="26"/>
        </w:rPr>
        <w:t xml:space="preserve">D. OPEN BLOCKERS AND RISKS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xmlns:wp14="http://schemas.microsoft.com/office/word/2010/wordml" w14:paraId="6ECC0B48" wp14:textId="77777777">
        <w:tc>
          <w:tcPr>
            <w:tcW w:w="3000" w:type="dxa"/>
            <w:tcBorders>
              <w:top w:val="single" w:color="B8BCC2" w:sz="4"/>
              <w:left w:val="single" w:color="B8BCC2" w:sz="4"/>
              <w:bottom w:val="single" w:color="B8BCC2" w:sz="4"/>
              <w:right w:val="single" w:color="B8BCC2" w:sz="4"/>
            </w:tcBorders>
            <w:shd w:val="clear" w:fill="AF0000"/>
            <w:tcMar>
              <w:top w:w="100" w:type="dxa"/>
              <w:left w:w="150" w:type="dxa"/>
              <w:bottom w:w="100" w:type="dxa"/>
              <w:right w:w="150" w:type="dxa"/>
            </w:tcMar>
          </w:tcPr>
          <w:p w14:paraId="7A49D834" wp14:textId="77777777">
            <w:r>
              <w:rPr>
                <w:rFonts w:ascii="Inter" w:hAnsi="Inter" w:eastAsia="Inter" w:cs="Inter"/>
                <w:b/>
                <w:bCs/>
                <w:color w:val="FFFFFF"/>
                <w:sz w:val="20"/>
                <w:szCs w:val="20"/>
              </w:rPr>
              <w:t xml:space="preserve">Blocker or risk</w:t>
            </w:r>
          </w:p>
        </w:tc>
        <w:tc>
          <w:tcPr>
            <w:tcW w:w="6000" w:type="dxa"/>
            <w:tcBorders>
              <w:top w:val="single" w:color="B8BCC2" w:sz="4"/>
              <w:left w:val="single" w:color="B8BCC2" w:sz="4"/>
              <w:bottom w:val="single" w:color="B8BCC2" w:sz="4"/>
              <w:right w:val="single" w:color="B8BCC2" w:sz="4"/>
            </w:tcBorders>
            <w:shd w:val="clear" w:fill="AF0000"/>
            <w:tcMar>
              <w:top w:w="100" w:type="dxa"/>
              <w:left w:w="150" w:type="dxa"/>
              <w:bottom w:w="100" w:type="dxa"/>
              <w:right w:w="150" w:type="dxa"/>
            </w:tcMar>
          </w:tcPr>
          <w:p w14:paraId="5AEEA579" wp14:textId="77777777">
            <w:r>
              <w:rPr>
                <w:rFonts w:ascii="Inter" w:hAnsi="Inter" w:eastAsia="Inter" w:cs="Inter"/>
                <w:b/>
                <w:bCs/>
                <w:color w:val="FFFFFF"/>
                <w:sz w:val="20"/>
                <w:szCs w:val="20"/>
              </w:rPr>
              <w:t xml:space="preserve">Assessment</w:t>
            </w:r>
          </w:p>
        </w:tc>
      </w:tr>
      <w:tr xmlns:wp14="http://schemas.microsoft.com/office/word/2010/wordml" w14:paraId="0FACC5FD"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56808546" wp14:textId="77777777">
            <w:r>
              <w:rPr>
                <w:rFonts w:ascii="Inter" w:hAnsi="Inter" w:eastAsia="Inter" w:cs="Inter"/>
                <w:b/>
                <w:bCs/>
                <w:color w:val="000000"/>
                <w:sz w:val="20"/>
                <w:szCs w:val="20"/>
              </w:rPr>
              <w:t xml:space="preserve">UK delivery capacity</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4922FC73" wp14:textId="77777777">
            <w:r>
              <w:rPr>
                <w:rFonts w:ascii="Inter" w:hAnsi="Inter" w:eastAsia="Inter" w:cs="Inter"/>
                <w:color w:val="000000"/>
                <w:sz w:val="20"/>
                <w:szCs w:val="20"/>
              </w:rPr>
              <w:t xml:space="preserve">At approximately 15 UK staff, Trifork's capacity to resource a settlement engagement of unconfirmed scale is a real constraint. Should be raised early, not left to tender stage.</w:t>
            </w:r>
          </w:p>
        </w:tc>
      </w:tr>
      <w:tr xmlns:wp14="http://schemas.microsoft.com/office/word/2010/wordml" w14:paraId="6B180DA4"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66CF5D68" wp14:textId="77777777">
            <w:r>
              <w:rPr>
                <w:rFonts w:ascii="Inter" w:hAnsi="Inter" w:eastAsia="Inter" w:cs="Inter"/>
                <w:b/>
                <w:bCs/>
                <w:color w:val="000000"/>
                <w:sz w:val="20"/>
                <w:szCs w:val="20"/>
              </w:rPr>
              <w:t xml:space="preserve">No UK public sector case study, and no settlement-specific reference</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64D6EF9F" wp14:textId="77777777">
            <w:r>
              <w:rPr>
                <w:rFonts w:ascii="Inter" w:hAnsi="Inter" w:eastAsia="Inter" w:cs="Inter"/>
                <w:color w:val="000000"/>
                <w:sz w:val="20"/>
                <w:szCs w:val="20"/>
              </w:rPr>
              <w:t xml:space="preserve">Confirmed via the verified case study library: all four documented Trifork case studies are Danish, private or third-sector engagements (financial advisory, grant administration, an internal AI assistant, and energy customer correspondence). None is a UK public sector reference, and none is a direct settlement or clearing engagement specifically; the closest matches are financial-services and regulated-sector delivery, not settlement operations themselves. This is a genuine evidence gap to name plainly, not to disguise.</w:t>
            </w:r>
          </w:p>
        </w:tc>
      </w:tr>
      <w:tr xmlns:wp14="http://schemas.microsoft.com/office/word/2010/wordml" w14:paraId="3247E8A6"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2CEE4B8B" wp14:textId="77777777">
            <w:r>
              <w:rPr>
                <w:rFonts w:ascii="Inter" w:hAnsi="Inter" w:eastAsia="Inter" w:cs="Inter"/>
                <w:b/>
                <w:bCs/>
                <w:color w:val="000000"/>
                <w:sz w:val="20"/>
                <w:szCs w:val="20"/>
              </w:rPr>
              <w:t xml:space="preserve">No confirmed UK framework access</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6AB7680F" wp14:textId="77777777">
            <w:r>
              <w:rPr>
                <w:rFonts w:ascii="Inter" w:hAnsi="Inter" w:eastAsia="Inter" w:cs="Inter"/>
                <w:color w:val="000000"/>
                <w:sz w:val="20"/>
                <w:szCs w:val="20"/>
              </w:rPr>
              <w:t xml:space="preserve">LCCC has not stated a framework route. If the eventual procurement runs via an existing energy or government framework Trifork is not on, this becomes a hard block regardless of fit.</w:t>
            </w:r>
          </w:p>
        </w:tc>
      </w:tr>
      <w:tr xmlns:wp14="http://schemas.microsoft.com/office/word/2010/wordml" w14:paraId="4454B3E7"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14CA21AA" wp14:textId="77777777">
            <w:r>
              <w:rPr>
                <w:rFonts w:ascii="Inter" w:hAnsi="Inter" w:eastAsia="Inter" w:cs="Inter"/>
                <w:b/>
                <w:bCs/>
                <w:color w:val="000000"/>
                <w:sz w:val="20"/>
                <w:szCs w:val="20"/>
              </w:rPr>
              <w:t xml:space="preserve">Full requirements not yet available</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62EF6F0C" wp14:textId="77777777">
            <w:r>
              <w:rPr>
                <w:rFonts w:ascii="Inter" w:hAnsi="Inter" w:eastAsia="Inter" w:cs="Inter"/>
                <w:color w:val="000000"/>
                <w:sz w:val="20"/>
                <w:szCs w:val="20"/>
              </w:rPr>
              <w:t xml:space="preserve">This is a PME only. The actual scope, delivery model and commercial structure will only be set once LCCC issues its procurement strategy following this engagement.</w:t>
            </w:r>
          </w:p>
        </w:tc>
      </w:tr>
      <w:tr xmlns:wp14="http://schemas.microsoft.com/office/word/2010/wordml" w14:paraId="6884F5FC"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365B4B5A" wp14:textId="77777777">
            <w:r>
              <w:rPr>
                <w:rFonts w:ascii="Inter" w:hAnsi="Inter" w:eastAsia="Inter" w:cs="Inter"/>
                <w:b/>
                <w:bCs/>
                <w:color w:val="000000"/>
                <w:sz w:val="20"/>
                <w:szCs w:val="20"/>
              </w:rPr>
              <w:t xml:space="preserve">SC/DV clearance position unconfirmed</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756227FE" wp14:textId="77777777">
            <w:r>
              <w:rPr>
                <w:rFonts w:ascii="Inter" w:hAnsi="Inter" w:eastAsia="Inter" w:cs="Inter"/>
                <w:color w:val="000000"/>
                <w:sz w:val="20"/>
                <w:szCs w:val="20"/>
              </w:rPr>
              <w:t xml:space="preserve">Central government, energy-sector settlement work may carry a clearance expectation. Per Bid Savvy policy this is a FLAG, not a fail, and should be confirmed before committing further resource.</w:t>
            </w:r>
          </w:p>
        </w:tc>
      </w:tr>
      <w:tr xmlns:wp14="http://schemas.microsoft.com/office/word/2010/wordml" w14:paraId="071B8F1E"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742B6FDF" wp14:textId="77777777">
            <w:r>
              <w:rPr>
                <w:rFonts w:ascii="Inter" w:hAnsi="Inter" w:eastAsia="Inter" w:cs="Inter"/>
                <w:b/>
                <w:bCs/>
                <w:color w:val="000000"/>
                <w:sz w:val="20"/>
                <w:szCs w:val="20"/>
              </w:rPr>
              <w:t xml:space="preserve">Cyber Essentials Plus and Carbon Reduction Plan not yet held</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0BF2A585" wp14:textId="77777777">
            <w:r>
              <w:rPr>
                <w:rFonts w:ascii="Inter" w:hAnsi="Inter" w:eastAsia="Inter" w:cs="Inter"/>
                <w:color w:val="000000"/>
                <w:sz w:val="20"/>
                <w:szCs w:val="20"/>
              </w:rPr>
              <w:t xml:space="preserve">Per the confirmed Bid Library record, both are committed but not yet in place. If either is a hard requirement at tender stage, this needs addressing well ahead of any submission.</w:t>
            </w:r>
          </w:p>
        </w:tc>
      </w:tr>
    </w:tbl>
    <w:p xmlns:wp14="http://schemas.microsoft.com/office/word/2010/wordml" w14:paraId="5A39BBE3" wp14:textId="77777777"/>
    <w:p xmlns:wp14="http://schemas.microsoft.com/office/word/2010/wordml" w14:paraId="26AB4B08" wp14:textId="77777777">
      <w:pPr>
        <w:spacing w:before="300" w:after="150"/>
      </w:pPr>
      <w:r>
        <w:rPr>
          <w:rFonts w:ascii="Inter" w:hAnsi="Inter" w:eastAsia="Inter" w:cs="Inter"/>
          <w:b/>
          <w:bCs/>
          <w:color w:val="AF0000"/>
          <w:sz w:val="26"/>
          <w:szCs w:val="26"/>
        </w:rPr>
        <w:t xml:space="preserve">E. DIRECT ASKS FOR TRIFORK VIA VICTORIA</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xmlns:wp14="http://schemas.microsoft.com/office/word/2010/wordml" w14:paraId="4CAE51A9" wp14:textId="77777777">
        <w:tc>
          <w:tcPr>
            <w:tcW w:w="3000" w:type="dxa"/>
            <w:tcBorders>
              <w:top w:val="single" w:color="B8BCC2" w:sz="4"/>
              <w:left w:val="single" w:color="B8BCC2" w:sz="4"/>
              <w:bottom w:val="single" w:color="B8BCC2" w:sz="4"/>
              <w:right w:val="single" w:color="B8BCC2" w:sz="4"/>
            </w:tcBorders>
            <w:shd w:val="clear" w:fill="AF0000"/>
            <w:tcMar>
              <w:top w:w="100" w:type="dxa"/>
              <w:left w:w="150" w:type="dxa"/>
              <w:bottom w:w="100" w:type="dxa"/>
              <w:right w:w="150" w:type="dxa"/>
            </w:tcMar>
          </w:tcPr>
          <w:p w14:paraId="444BA784" wp14:textId="77777777">
            <w:r>
              <w:rPr>
                <w:rFonts w:ascii="Inter" w:hAnsi="Inter" w:eastAsia="Inter" w:cs="Inter"/>
                <w:b/>
                <w:bCs/>
                <w:color w:val="FFFFFF"/>
                <w:sz w:val="20"/>
                <w:szCs w:val="20"/>
              </w:rPr>
              <w:t xml:space="preserve">Ask</w:t>
            </w:r>
          </w:p>
        </w:tc>
        <w:tc>
          <w:tcPr>
            <w:tcW w:w="6000" w:type="dxa"/>
            <w:tcBorders>
              <w:top w:val="single" w:color="B8BCC2" w:sz="4"/>
              <w:left w:val="single" w:color="B8BCC2" w:sz="4"/>
              <w:bottom w:val="single" w:color="B8BCC2" w:sz="4"/>
              <w:right w:val="single" w:color="B8BCC2" w:sz="4"/>
            </w:tcBorders>
            <w:shd w:val="clear" w:fill="AF0000"/>
            <w:tcMar>
              <w:top w:w="100" w:type="dxa"/>
              <w:left w:w="150" w:type="dxa"/>
              <w:bottom w:w="100" w:type="dxa"/>
              <w:right w:w="150" w:type="dxa"/>
            </w:tcMar>
          </w:tcPr>
          <w:p w14:paraId="3850B039" wp14:textId="77777777">
            <w:r>
              <w:rPr>
                <w:rFonts w:ascii="Inter" w:hAnsi="Inter" w:eastAsia="Inter" w:cs="Inter"/>
                <w:b/>
                <w:bCs/>
                <w:color w:val="FFFFFF"/>
                <w:sz w:val="20"/>
                <w:szCs w:val="20"/>
              </w:rPr>
              <w:t xml:space="preserve">Why it matters</w:t>
            </w:r>
          </w:p>
        </w:tc>
      </w:tr>
      <w:tr xmlns:wp14="http://schemas.microsoft.com/office/word/2010/wordml" w14:paraId="11526F14"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185A71B3" wp14:textId="77777777">
            <w:r>
              <w:rPr>
                <w:rFonts w:ascii="Inter" w:hAnsi="Inter" w:eastAsia="Inter" w:cs="Inter"/>
                <w:b/>
                <w:bCs/>
                <w:color w:val="000000"/>
                <w:sz w:val="20"/>
                <w:szCs w:val="20"/>
              </w:rPr>
              <w:t xml:space="preserve">Confirm Trifork's UK delivery capacity for a settlement platform engagement of this nature. How many staff could realistically be committed, and on what timeline?</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14A4D5D2" wp14:textId="77777777">
            <w:r>
              <w:rPr>
                <w:rFonts w:ascii="Inter" w:hAnsi="Inter" w:eastAsia="Inter" w:cs="Inter"/>
                <w:color w:val="000000"/>
                <w:sz w:val="20"/>
                <w:szCs w:val="20"/>
              </w:rPr>
              <w:t xml:space="preserve">Right to win depends on demonstrable UK delivery capacity, not capability alone.</w:t>
            </w:r>
          </w:p>
        </w:tc>
      </w:tr>
      <w:tr xmlns:wp14="http://schemas.microsoft.com/office/word/2010/wordml" w14:paraId="25D96055"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08154DCC" wp14:textId="77777777">
            <w:r>
              <w:rPr>
                <w:rFonts w:ascii="Inter" w:hAnsi="Inter" w:eastAsia="Inter" w:cs="Inter"/>
                <w:b/>
                <w:bCs/>
                <w:color w:val="000000"/>
                <w:sz w:val="20"/>
                <w:szCs w:val="20"/>
              </w:rPr>
              <w:t xml:space="preserve">Beyond the four documented case studies (&amp;Money, Nordjyllandsfonden, ALai, AI Mail Assist), are there any additional financial-services, settlement or clearing engagements, at Group level or elsewhere, that have not yet been logged in the Bid Library?</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370A778B" wp14:textId="77777777">
            <w:r>
              <w:rPr>
                <w:rFonts w:ascii="Inter" w:hAnsi="Inter" w:eastAsia="Inter" w:cs="Inter"/>
                <w:color w:val="000000"/>
                <w:sz w:val="20"/>
                <w:szCs w:val="20"/>
              </w:rPr>
              <w:t xml:space="preserve">The current verified evidence base is real but modest in value and not settlement-specific; any additional proof point materially strengthens the PME response.</w:t>
            </w:r>
          </w:p>
        </w:tc>
      </w:tr>
      <w:tr xmlns:wp14="http://schemas.microsoft.com/office/word/2010/wordml" w14:paraId="20F7A860"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0F34F54C" wp14:textId="77777777">
            <w:r>
              <w:rPr>
                <w:rFonts w:ascii="Inter" w:hAnsi="Inter" w:eastAsia="Inter" w:cs="Inter"/>
                <w:b/>
                <w:bCs/>
                <w:color w:val="000000"/>
                <w:sz w:val="20"/>
                <w:szCs w:val="20"/>
              </w:rPr>
              <w:t xml:space="preserve">Confirm Trifork's current UK security clearance position (SC or DV) for any staff who could be proposed on a central government energy settlement engagement.</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07730609" wp14:textId="77777777">
            <w:r>
              <w:rPr>
                <w:rFonts w:ascii="Inter" w:hAnsi="Inter" w:eastAsia="Inter" w:cs="Inter"/>
                <w:color w:val="000000"/>
                <w:sz w:val="20"/>
                <w:szCs w:val="20"/>
              </w:rPr>
              <w:t xml:space="preserve">This PME sits with a public authority, central government body; clearance expectations may surface at tender stage and are better answered now than under time pressure later.</w:t>
            </w:r>
          </w:p>
        </w:tc>
      </w:tr>
      <w:tr xmlns:wp14="http://schemas.microsoft.com/office/word/2010/wordml" w14:paraId="44E301D7" wp14:textId="77777777">
        <w:tc>
          <w:tcPr>
            <w:tcW w:w="3000" w:type="dxa"/>
            <w:tcBorders>
              <w:top w:val="single" w:color="B8BCC2" w:sz="4"/>
              <w:left w:val="single" w:color="B8BCC2" w:sz="4"/>
              <w:bottom w:val="single" w:color="B8BCC2" w:sz="4"/>
              <w:right w:val="single" w:color="B8BCC2" w:sz="4"/>
            </w:tcBorders>
            <w:shd w:val="clear" w:fill="F5F5F5"/>
            <w:tcMar>
              <w:top w:w="100" w:type="dxa"/>
              <w:left w:w="150" w:type="dxa"/>
              <w:bottom w:w="100" w:type="dxa"/>
              <w:right w:w="150" w:type="dxa"/>
            </w:tcMar>
          </w:tcPr>
          <w:p w14:paraId="3F8D8831" wp14:textId="77777777">
            <w:r>
              <w:rPr>
                <w:rFonts w:ascii="Inter" w:hAnsi="Inter" w:eastAsia="Inter" w:cs="Inter"/>
                <w:b/>
                <w:bCs/>
                <w:color w:val="000000"/>
                <w:sz w:val="20"/>
                <w:szCs w:val="20"/>
              </w:rPr>
              <w:t xml:space="preserve">Confirm whether Trifork wants to register interest and respond to this PME ahead of the 14 August deadline.</w:t>
            </w:r>
          </w:p>
        </w:tc>
        <w:tc>
          <w:tcPr>
            <w:tcW w:w="6000" w:type="dxa"/>
            <w:tcBorders>
              <w:top w:val="single" w:color="B8BCC2" w:sz="4"/>
              <w:left w:val="single" w:color="B8BCC2" w:sz="4"/>
              <w:bottom w:val="single" w:color="B8BCC2" w:sz="4"/>
              <w:right w:val="single" w:color="B8BCC2" w:sz="4"/>
            </w:tcBorders>
            <w:tcMar>
              <w:top w:w="100" w:type="dxa"/>
              <w:left w:w="150" w:type="dxa"/>
              <w:bottom w:w="100" w:type="dxa"/>
              <w:right w:w="150" w:type="dxa"/>
            </w:tcMar>
          </w:tcPr>
          <w:p w14:paraId="6748146F" wp14:textId="77777777">
            <w:r>
              <w:rPr>
                <w:rFonts w:ascii="Inter" w:hAnsi="Inter" w:eastAsia="Inter" w:cs="Inter"/>
                <w:color w:val="000000"/>
                <w:sz w:val="20"/>
                <w:szCs w:val="20"/>
              </w:rPr>
              <w:t xml:space="preserve">The engagement is low-cost to enter (a questionnaire response via the Delta e-Sourcing portal) and provides early visibility of LCCC's future procurement strategy.</w:t>
            </w:r>
          </w:p>
        </w:tc>
      </w:tr>
    </w:tbl>
    <w:p xmlns:wp14="http://schemas.microsoft.com/office/word/2010/wordml" w14:paraId="41C8F396" wp14:textId="77777777"/>
    <w:p xmlns:wp14="http://schemas.microsoft.com/office/word/2010/wordml" w14:paraId="3DDBB62C" wp14:textId="77777777">
      <w:pPr>
        <w:spacing w:before="300" w:after="150"/>
      </w:pPr>
      <w:r>
        <w:rPr>
          <w:rFonts w:ascii="Inter" w:hAnsi="Inter" w:eastAsia="Inter" w:cs="Inter"/>
          <w:b/>
          <w:bCs/>
          <w:color w:val="AF0000"/>
          <w:sz w:val="26"/>
          <w:szCs w:val="26"/>
        </w:rPr>
        <w:t xml:space="preserve">F. DECISION REQUESTED FROM VICTORIA</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00"/>
      </w:tblGrid>
      <w:tr xmlns:wp14="http://schemas.microsoft.com/office/word/2010/wordml" w14:paraId="6152C1E2" wp14:textId="77777777">
        <w:tc>
          <w:tcPr>
            <w:tcW w:w="9000" w:type="dxa"/>
            <w:tcBorders>
              <w:top w:val="single" w:color="2F5D8A" w:sz="4"/>
              <w:left w:val="single" w:color="2F5D8A" w:sz="4"/>
              <w:bottom w:val="single" w:color="2F5D8A" w:sz="4"/>
              <w:right w:val="single" w:color="2F5D8A" w:sz="4"/>
            </w:tcBorders>
            <w:shd w:val="clear" w:fill="EEF3FA"/>
            <w:tcMar>
              <w:top w:w="150" w:type="dxa"/>
              <w:left w:w="200" w:type="dxa"/>
              <w:bottom w:w="150" w:type="dxa"/>
              <w:right w:w="200" w:type="dxa"/>
            </w:tcMar>
          </w:tcPr>
          <w:p w14:paraId="6FD31D12" wp14:textId="77777777">
            <w:r>
              <w:rPr>
                <w:rFonts w:ascii="Inter" w:hAnsi="Inter" w:eastAsia="Inter" w:cs="Inter"/>
                <w:color w:val="000000"/>
                <w:sz w:val="20"/>
                <w:szCs w:val="20"/>
              </w:rPr>
              <w:t xml:space="preserve">Decision required: Does Victoria want Bid Savvy to register interest and respond to this Preliminary Market Engagement on Trifork's behalf ahead of the 14 August 2026 deadline? If yes, the immediate actions are: (1) register on the LCCC Delta e-Sourcing portal, (2) complete and submit the PME questionnaire, (3) prepare a short capability summary drawing on the four verified case studies (&amp;Money, Nordjyllandsfonden, ALai, AI Mail Assist), presented honestly as adjacent financial-services and regulated-sector evidence rather than direct settlement experience. Recommendation: yes, proceed. Of everything scouted across Mark's four sectors to date, this remains the closest available match to Trifork's engineering strength, though the evidence base should be presented candidly given the case studies are not settlement-specific and not UK public sector.</w:t>
            </w:r>
          </w:p>
        </w:tc>
      </w:tr>
    </w:tbl>
    <w:p xmlns:wp14="http://schemas.microsoft.com/office/word/2010/wordml" w14:paraId="72A3D3EC" wp14:textId="77777777"/>
    <w:p xmlns:wp14="http://schemas.microsoft.com/office/word/2010/wordml" w14:paraId="1B5C493A" wp14:textId="77777777">
      <w:r>
        <w:rPr>
          <w:rFonts w:ascii="Inter" w:hAnsi="Inter" w:eastAsia="Inter" w:cs="Inter"/>
          <w:i/>
          <w:iCs/>
          <w:color w:val="3A3A3A"/>
          <w:sz w:val="18"/>
          <w:szCs w:val="18"/>
        </w:rPr>
        <w:t xml:space="preserve">Prepared by Mark De Leon, Procurement Scouting, Bid Savvy Solutions Ltd | Internal use only | Not for client distribution</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861204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2CDD226"/>
  <w15:docId w15:val="{8D9587BF-3070-4474-9AFF-EBFB20E946F4}"/>
  <w:rsids>
    <w:rsidRoot w:val="477DD410"/>
    <w:rsid w:val="477DD41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29E6E93966A442A44D9F4185F139AD" ma:contentTypeVersion="11" ma:contentTypeDescription="Create a new document." ma:contentTypeScope="" ma:versionID="96ba3d8021cc92add38d8ae7b0f69f6b">
  <xsd:schema xmlns:xsd="http://www.w3.org/2001/XMLSchema" xmlns:xs="http://www.w3.org/2001/XMLSchema" xmlns:p="http://schemas.microsoft.com/office/2006/metadata/properties" xmlns:ns2="47f3d58d-801f-479a-951b-2415a88ed6ba" xmlns:ns3="4bd8c4b4-23d7-48ec-a116-a20be509214c" targetNamespace="http://schemas.microsoft.com/office/2006/metadata/properties" ma:root="true" ma:fieldsID="5d259bb08d8fede48a456216c769d4fc" ns2:_="" ns3:_="">
    <xsd:import namespace="47f3d58d-801f-479a-951b-2415a88ed6ba"/>
    <xsd:import namespace="4bd8c4b4-23d7-48ec-a116-a20be50921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f3d58d-801f-479a-951b-2415a88ed6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c947fc1-8761-4722-9bce-1c75e296fcd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d8c4b4-23d7-48ec-a116-a20be50921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ec10d13-4185-47df-97c1-805862db4e87}" ma:internalName="TaxCatchAll" ma:showField="CatchAllData" ma:web="4bd8c4b4-23d7-48ec-a116-a20be5092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f3d58d-801f-479a-951b-2415a88ed6ba">
      <Terms xmlns="http://schemas.microsoft.com/office/infopath/2007/PartnerControls"/>
    </lcf76f155ced4ddcb4097134ff3c332f>
    <TaxCatchAll xmlns="4bd8c4b4-23d7-48ec-a116-a20be509214c" xsi:nil="true"/>
  </documentManagement>
</p:properties>
</file>

<file path=customXml/itemProps1.xml><?xml version="1.0" encoding="utf-8"?>
<ds:datastoreItem xmlns:ds="http://schemas.openxmlformats.org/officeDocument/2006/customXml" ds:itemID="{91138F32-C9AE-43C2-83C8-BB5ADD247D1B}"/>
</file>

<file path=customXml/itemProps2.xml><?xml version="1.0" encoding="utf-8"?>
<ds:datastoreItem xmlns:ds="http://schemas.openxmlformats.org/officeDocument/2006/customXml" ds:itemID="{DDE916D9-E6B9-440A-B88B-EA3E21ADC797}"/>
</file>

<file path=customXml/itemProps3.xml><?xml version="1.0" encoding="utf-8"?>
<ds:datastoreItem xmlns:ds="http://schemas.openxmlformats.org/officeDocument/2006/customXml" ds:itemID="{083A34C1-AA62-4BCF-98DB-75C867AD8DC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De Leon</cp:lastModifiedBy>
  <cp:revision>2</cp:revision>
  <dcterms:created xsi:type="dcterms:W3CDTF">2026-08-06T06:42:13Z</dcterms:created>
  <dcterms:modified xsi:type="dcterms:W3CDTF">2026-08-07T11:14:50Z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0x010100E629E6E93966A442A44D9F4185F139AD</vt:lpwstr>
  </property>
  <property fmtid="{D5CDD505-2E9C-101B-9397-08002B2CF9AE}" pid="3" name="MediaServiceImageTags">
    <vt:lpwstr/>
  </property>
</Properties>
</file>