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media/image3.png" ContentType="image/png"/>
  <Override PartName="/word/media/image1.wmf" ContentType="image/x-wmf"/>
  <Override PartName="/word/media/image2.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EEETitle"/>
        <w:rPr/>
      </w:pPr>
      <w:r>
        <w:rPr/>
        <w:t>Using Vein Patters to generate Random Numbers</w:t>
      </w:r>
      <w:r>
        <w:rPr/>
        <w:t xml:space="preserve"> </w:t>
      </w:r>
    </w:p>
    <w:p>
      <w:pPr>
        <w:pStyle w:val="IEEEAuthorName"/>
        <w:spacing w:before="120" w:after="0"/>
        <w:rPr/>
      </w:pPr>
      <w:r>
        <w:rPr>
          <w:sz w:val="20"/>
          <w:szCs w:val="20"/>
        </w:rPr>
        <w:t>Mohit Bansal</w:t>
      </w:r>
      <w:r>
        <w:rPr>
          <w:sz w:val="20"/>
          <w:szCs w:val="20"/>
          <w:vertAlign w:val="superscript"/>
        </w:rPr>
        <w:t>1</w:t>
      </w:r>
      <w:r>
        <w:rPr>
          <w:sz w:val="20"/>
          <w:szCs w:val="20"/>
        </w:rPr>
        <w:t xml:space="preserve">, </w:t>
      </w:r>
      <w:r>
        <w:rPr>
          <w:sz w:val="20"/>
          <w:szCs w:val="20"/>
        </w:rPr>
        <w:t>Hitesh Kardam</w:t>
      </w:r>
      <w:r>
        <w:rPr>
          <w:sz w:val="20"/>
          <w:szCs w:val="20"/>
          <w:vertAlign w:val="superscript"/>
        </w:rPr>
        <w:t>1</w:t>
      </w:r>
      <w:r>
        <w:rPr>
          <w:sz w:val="20"/>
          <w:szCs w:val="20"/>
        </w:rPr>
        <w:t xml:space="preserve">, and </w:t>
      </w:r>
      <w:r>
        <w:rPr>
          <w:sz w:val="20"/>
          <w:szCs w:val="20"/>
        </w:rPr>
        <w:t>Himanshu Khairwal</w:t>
      </w:r>
      <w:r>
        <w:rPr>
          <w:sz w:val="20"/>
          <w:szCs w:val="20"/>
          <w:vertAlign w:val="superscript"/>
        </w:rPr>
        <w:t>1</w:t>
      </w:r>
    </w:p>
    <w:p>
      <w:pPr>
        <w:pStyle w:val="IEEEAuthorAffiliation"/>
        <w:spacing w:before="0" w:after="0"/>
        <w:rPr/>
      </w:pPr>
      <w:r>
        <w:rPr>
          <w:szCs w:val="20"/>
          <w:vertAlign w:val="superscript"/>
        </w:rPr>
        <w:t>1</w:t>
      </w:r>
      <w:r>
        <w:rPr>
          <w:szCs w:val="20"/>
        </w:rPr>
        <w:t>Maharaja Agrasen Institute of Technology, Delhi, India</w:t>
      </w:r>
    </w:p>
    <w:p>
      <w:pPr>
        <w:pStyle w:val="IEEEAuthorAffiliation"/>
        <w:spacing w:before="0" w:after="0"/>
        <w:rPr>
          <w:szCs w:val="20"/>
        </w:rPr>
      </w:pPr>
      <w:r>
        <w:rPr/>
      </w:r>
    </w:p>
    <w:p>
      <w:pPr>
        <w:pStyle w:val="IEEEAuthorName"/>
        <w:spacing w:before="0" w:after="0"/>
        <w:rPr/>
      </w:pPr>
      <w:r>
        <w:rPr>
          <w:sz w:val="20"/>
          <w:szCs w:val="20"/>
        </w:rPr>
        <w:t>*Contact: First.Author@sron.nl, phone +31-50-363 4074</w:t>
      </w:r>
      <w:r>
        <w:rPr/>
        <w:br/>
      </w:r>
    </w:p>
    <w:p>
      <w:pPr>
        <w:pStyle w:val="Normal"/>
        <w:rPr>
          <w:lang w:val="en-GB"/>
        </w:rPr>
      </w:pPr>
      <w:r>
        <w:rPr>
          <w:lang w:val="en-GB"/>
        </w:rPr>
      </w:r>
    </w:p>
    <w:p>
      <w:pPr>
        <w:pStyle w:val="Normal"/>
        <w:rPr/>
      </w:pPr>
      <w:r>
        <w:rPr/>
      </w:r>
    </w:p>
    <w:p>
      <w:pPr>
        <w:sectPr>
          <w:headerReference w:type="even" r:id="rId2"/>
          <w:headerReference w:type="default" r:id="rId3"/>
          <w:type w:val="nextPage"/>
          <w:pgSz w:w="12240" w:h="15840"/>
          <w:pgMar w:left="868" w:right="868" w:header="709" w:top="1276" w:footer="0" w:bottom="1871" w:gutter="0"/>
          <w:pgNumType w:fmt="decimal"/>
          <w:formProt w:val="false"/>
          <w:textDirection w:val="lrTb"/>
          <w:docGrid w:type="default" w:linePitch="600" w:charSpace="32768"/>
        </w:sectPr>
      </w:pPr>
    </w:p>
    <w:p>
      <w:pPr>
        <w:pStyle w:val="IEEEAbtract"/>
        <w:rPr/>
      </w:pPr>
      <w:r>
        <w:rPr>
          <w:rStyle w:val="IEEEAbstractHeadingChar"/>
        </w:rPr>
        <w:t>Abstract</w:t>
      </w:r>
      <w:r>
        <w:rPr/>
        <w:t>— T</w:t>
      </w:r>
    </w:p>
    <w:p>
      <w:pPr>
        <w:pStyle w:val="IEEEHeading1"/>
        <w:numPr>
          <w:ilvl w:val="0"/>
          <w:numId w:val="1"/>
        </w:numPr>
        <w:ind w:left="288" w:hanging="288"/>
        <w:rPr/>
      </w:pPr>
      <w:r>
        <w:rPr/>
        <w:t>Introduction</w:t>
      </w:r>
    </w:p>
    <w:p>
      <w:pPr>
        <w:pStyle w:val="IEEEParagraph"/>
        <w:tabs>
          <w:tab w:val="clear" w:pos="720"/>
          <w:tab w:val="left" w:pos="378" w:leader="none"/>
        </w:tabs>
        <w:rPr/>
      </w:pPr>
      <w:r>
        <w:rPr/>
        <w:t>For this year’s International Symposium on Space Terahertz Technology, the organizing committee has decided to request extended abstracts from potential presenters that can be published as part of the conference proceedings in place of final papers submitted after the conference.  This will allow a much more timely publication of the conference proceedings, and should make it easier for preliminary work presented at the conference to be completed and submitted to refereed journals as full publications following the conference.</w:t>
      </w:r>
    </w:p>
    <w:p>
      <w:pPr>
        <w:pStyle w:val="IEEEParagraph"/>
        <w:tabs>
          <w:tab w:val="clear" w:pos="720"/>
          <w:tab w:val="left" w:pos="378" w:leader="none"/>
        </w:tabs>
        <w:rPr/>
      </w:pPr>
      <w:r>
        <w:rPr/>
        <w:t xml:space="preserve"> </w:t>
      </w:r>
      <w:r>
        <w:rPr/>
        <w:t>Potential presenters that are seeking to give oral presentations should submit abstracts between 2 and 4 pages in length, while those that are requesting poster presentation only should submit abstracts between 1 and 4 pages in length.</w:t>
      </w:r>
    </w:p>
    <w:p>
      <w:pPr>
        <w:pStyle w:val="IEEEParagraph"/>
        <w:tabs>
          <w:tab w:val="clear" w:pos="720"/>
          <w:tab w:val="left" w:pos="378" w:leader="none"/>
        </w:tabs>
        <w:rPr/>
      </w:pPr>
      <w:r>
        <w:rPr/>
        <w:t>Submitted extended abstracts will be reviewed by the Scientific Organizing Committee for scientific and technical content.  Your extended abstract should include: A short abstract summarizing the work; an introduction describing the background and motivation for the work; a summary of the work (to be) carried out (e.g. experimental methods, theoretical technique, technical approach); A description of preliminary results and/or the results or technical progress you expect to report at the conference; and a discussion of future extensions of the work or anticipated conclusions to be drawn from the work.  You may include relevant figures, tables and references using the instructions in this template.</w:t>
      </w:r>
    </w:p>
    <w:p>
      <w:pPr>
        <w:pStyle w:val="IEEEParagraph"/>
        <w:tabs>
          <w:tab w:val="clear" w:pos="720"/>
          <w:tab w:val="left" w:pos="378" w:leader="none"/>
        </w:tabs>
        <w:rPr/>
      </w:pPr>
      <w:r>
        <w:rPr/>
        <w:t>This document is a template based on the IEEE template used for IEEE Transactions.  This should make it relatively easy for extended abstracts submitted to be modified to form either a final ISSTT2015 proceedings paper, or a paper suitable for submission to an IEEE Transactions on Terahertz Science and Techniques special issue. An electronic copy of this template can be downloaded from the conference website www.cfa.harvard.edu/ISSTT2015. If you have questions, please contact the conference organizer at isstt2015LOC@cfa.harvard.edu</w:t>
      </w:r>
    </w:p>
    <w:p>
      <w:pPr>
        <w:pStyle w:val="IEEEParagraph"/>
        <w:rPr/>
      </w:pPr>
      <w:r>
        <w:rPr/>
        <w:t>Finished papers should be submitted as PDF files by email to &lt;insertAddress&gt;.</w:t>
      </w:r>
    </w:p>
    <w:p>
      <w:pPr>
        <w:pStyle w:val="IEEEHeading1"/>
        <w:numPr>
          <w:ilvl w:val="0"/>
          <w:numId w:val="1"/>
        </w:numPr>
        <w:ind w:left="288" w:hanging="288"/>
        <w:rPr/>
      </w:pPr>
      <w:r>
        <w:rPr/>
        <w:t>Page Layout</w:t>
      </w:r>
    </w:p>
    <w:p>
      <w:pPr>
        <w:pStyle w:val="IEEEParagraph"/>
        <w:rPr/>
      </w:pPr>
      <w:r>
        <w:rPr/>
        <w:t xml:space="preserve">An easy way to comply with the conference paper formatting requirements is to use this document as a template and simply type your text into it or use the paste function. </w:t>
      </w:r>
    </w:p>
    <w:p>
      <w:pPr>
        <w:pStyle w:val="IEEEHeading2"/>
        <w:numPr>
          <w:ilvl w:val="0"/>
          <w:numId w:val="4"/>
        </w:numPr>
        <w:rPr/>
      </w:pPr>
      <w:r>
        <w:rPr/>
        <w:t>Page Layout</w:t>
      </w:r>
    </w:p>
    <w:p>
      <w:pPr>
        <w:pStyle w:val="IEEEParagraph"/>
        <w:rPr/>
      </w:pPr>
      <w:r>
        <w:rPr/>
        <w:t>The paper can be maximum ten pages in length.</w:t>
      </w:r>
    </w:p>
    <w:p>
      <w:pPr>
        <w:pStyle w:val="IEEEParagraph"/>
        <w:rPr/>
      </w:pPr>
      <w:r>
        <w:rPr/>
        <w:t>Your paper must use a page size corresponding to the US Letter paper size, which is 216mm (8.5") wide and 279mm (11 ") long.  The margins must be set as follows:</w:t>
      </w:r>
    </w:p>
    <w:p>
      <w:pPr>
        <w:pStyle w:val="IEEEParagraph"/>
        <w:numPr>
          <w:ilvl w:val="0"/>
          <w:numId w:val="3"/>
        </w:numPr>
        <w:rPr/>
      </w:pPr>
      <w:r>
        <w:rPr/>
        <w:t>Top = 18mm (0.7")</w:t>
      </w:r>
    </w:p>
    <w:p>
      <w:pPr>
        <w:pStyle w:val="IEEEParagraph"/>
        <w:numPr>
          <w:ilvl w:val="0"/>
          <w:numId w:val="3"/>
        </w:numPr>
        <w:rPr/>
      </w:pPr>
      <w:r>
        <w:rPr/>
        <w:t>Bottom = 18mm (0.7")</w:t>
      </w:r>
    </w:p>
    <w:p>
      <w:pPr>
        <w:pStyle w:val="IEEEParagraph"/>
        <w:numPr>
          <w:ilvl w:val="0"/>
          <w:numId w:val="3"/>
        </w:numPr>
        <w:rPr/>
      </w:pPr>
      <w:r>
        <w:rPr/>
        <w:t>Left = Right = 16.5mm (0.65")</w:t>
      </w:r>
    </w:p>
    <w:p>
      <w:pPr>
        <w:pStyle w:val="IEEEParagraph"/>
        <w:rPr/>
      </w:pPr>
      <w:r>
        <w:rPr/>
        <w:t>Your paper must be in two column format with a column width of 90mm (3.55") and a space of 5mm (0.2</w:t>
      </w:r>
      <w:bookmarkStart w:id="0" w:name="OLE_LINK2"/>
      <w:bookmarkStart w:id="1" w:name="OLE_LINK1"/>
      <w:r>
        <w:rPr/>
        <w:t>"</w:t>
      </w:r>
      <w:bookmarkEnd w:id="0"/>
      <w:bookmarkEnd w:id="1"/>
      <w:r>
        <w:rPr/>
        <w:t xml:space="preserve">) between columns. </w:t>
      </w:r>
    </w:p>
    <w:p>
      <w:pPr>
        <w:pStyle w:val="IEEEParagraph"/>
        <w:rPr/>
      </w:pPr>
      <w:r>
        <w:rPr/>
        <w:t>Do not edit the header or footer of the document. Page numbers will be inserted later.</w:t>
      </w:r>
    </w:p>
    <w:p>
      <w:pPr>
        <w:pStyle w:val="IEEEHeading1"/>
        <w:numPr>
          <w:ilvl w:val="0"/>
          <w:numId w:val="1"/>
        </w:numPr>
        <w:ind w:left="288" w:hanging="288"/>
        <w:rPr/>
      </w:pPr>
      <w:r>
        <w:rPr/>
        <w:t>Page Style</w:t>
      </w:r>
    </w:p>
    <w:p>
      <w:pPr>
        <w:pStyle w:val="IEEEParagraph"/>
        <w:rPr/>
      </w:pPr>
      <w:r>
        <w:rPr/>
        <w:t>All paragraphs must be indented.  All paragraphs must be justified, i.e. both left-justified and right-justified.</w:t>
      </w:r>
    </w:p>
    <w:p>
      <w:pPr>
        <w:pStyle w:val="IEEEHeading2"/>
        <w:numPr>
          <w:ilvl w:val="0"/>
          <w:numId w:val="6"/>
        </w:numPr>
        <w:ind w:left="288" w:hanging="288"/>
        <w:rPr/>
      </w:pPr>
      <w:r>
        <w:rPr/>
        <w:t>Text Font of Entire Document</w:t>
      </w:r>
    </w:p>
    <w:p>
      <w:pPr>
        <w:pStyle w:val="IEEEParagraph"/>
        <w:rPr/>
      </w:pPr>
      <w:r>
        <w:rPr/>
        <w:t>The entire document should be in Times New Roman or Times font.  Type 3 fonts must not be used.  Other font types may be used if needed for special purposes.</w:t>
      </w:r>
    </w:p>
    <w:p>
      <w:pPr>
        <w:pStyle w:val="IEEEParagraph"/>
        <w:rPr/>
      </w:pPr>
      <w:r>
        <w:rPr/>
        <w:t>Recommended font sizes are shown in Table 1.</w:t>
      </w:r>
    </w:p>
    <w:p>
      <w:pPr>
        <w:pStyle w:val="IEEEHeading2"/>
        <w:numPr>
          <w:ilvl w:val="0"/>
          <w:numId w:val="6"/>
        </w:numPr>
        <w:ind w:left="288" w:hanging="288"/>
        <w:rPr/>
      </w:pPr>
      <w:r>
        <w:rPr/>
        <w:t>Title and Author Details</w:t>
      </w:r>
    </w:p>
    <w:p>
      <w:pPr>
        <w:pStyle w:val="IEEEParagraph"/>
        <w:rPr/>
      </w:pPr>
      <w:r>
        <w:rPr/>
        <w:t>Title must be in 24 pt Regular font.  Author name must be in 11 pt Regular font.  Author affiliation must be in 10 pt Italic. Contact email address must be in 9 pt Courier Regular font.</w:t>
      </w:r>
    </w:p>
    <w:p>
      <w:pPr>
        <w:pStyle w:val="IEEETableCaption"/>
        <w:rPr/>
      </w:pPr>
      <w:r>
        <w:rPr/>
        <w:t xml:space="preserve">TABLE </w:t>
      </w:r>
      <w:r>
        <w:rPr/>
        <w:fldChar w:fldCharType="begin"/>
      </w:r>
      <w:r>
        <w:rPr/>
        <w:instrText> SEQ Table \* ROMAN </w:instrText>
      </w:r>
      <w:r>
        <w:rPr/>
        <w:fldChar w:fldCharType="separate"/>
      </w:r>
      <w:r>
        <w:rPr/>
        <w:t>I</w:t>
      </w:r>
      <w:r>
        <w:rPr/>
        <w:fldChar w:fldCharType="end"/>
      </w:r>
      <w:r>
        <w:rPr/>
        <w:br/>
        <w:t>Font Sizes for Papers</w:t>
      </w:r>
    </w:p>
    <w:tbl>
      <w:tblPr>
        <w:tblW w:w="49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740"/>
        <w:gridCol w:w="1559"/>
        <w:gridCol w:w="1080"/>
        <w:gridCol w:w="1605"/>
      </w:tblGrid>
      <w:tr>
        <w:trPr/>
        <w:tc>
          <w:tcPr>
            <w:tcW w:w="74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HeaderLeftJustified"/>
              <w:rPr/>
            </w:pPr>
            <w:r>
              <w:rPr/>
              <w:t>Font Size</w:t>
            </w:r>
          </w:p>
        </w:tc>
        <w:tc>
          <w:tcPr>
            <w:tcW w:w="424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HeaderCentered"/>
              <w:rPr/>
            </w:pPr>
            <w:r>
              <w:rPr/>
              <w:t>Appearance (in Time New Roman or Times)</w:t>
            </w:r>
          </w:p>
        </w:tc>
      </w:tr>
      <w:tr>
        <w:trPr/>
        <w:tc>
          <w:tcPr>
            <w:tcW w:w="74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b/>
                <w:b/>
                <w:bCs/>
              </w:rPr>
            </w:pPr>
            <w:r>
              <w:rPr>
                <w:b/>
                <w:bCs/>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HeaderLeftJustified"/>
              <w:rPr/>
            </w:pPr>
            <w:r>
              <w:rPr/>
              <w:t>Regular</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HeaderLeftJustified"/>
              <w:rPr/>
            </w:pPr>
            <w:r>
              <w:rPr/>
              <w:t>Bold</w:t>
            </w:r>
          </w:p>
        </w:tc>
        <w:tc>
          <w:tcPr>
            <w:tcW w:w="1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HeaderLeftJustified"/>
              <w:rPr/>
            </w:pPr>
            <w:r>
              <w:rPr/>
              <w:t>Italic</w:t>
            </w:r>
            <w:bookmarkStart w:id="2" w:name="_GoBack"/>
            <w:bookmarkEnd w:id="2"/>
          </w:p>
        </w:tc>
      </w:tr>
      <w:tr>
        <w:trPr/>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8</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table caption (in Small Caps),</w:t>
            </w:r>
          </w:p>
          <w:p>
            <w:pPr>
              <w:pStyle w:val="IEEETableCell"/>
              <w:rPr/>
            </w:pPr>
            <w:r>
              <w:rPr/>
              <w:t>figure caption,</w:t>
            </w:r>
          </w:p>
          <w:p>
            <w:pPr>
              <w:pStyle w:val="IEEETableCell"/>
              <w:rPr/>
            </w:pPr>
            <w:r>
              <w:rPr/>
              <w:t>reference item</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r>
          </w:p>
        </w:tc>
        <w:tc>
          <w:tcPr>
            <w:tcW w:w="1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reference item (partial)</w:t>
            </w:r>
          </w:p>
        </w:tc>
      </w:tr>
      <w:tr>
        <w:trPr/>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9</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Contact author email address (in Courier), cell in a table</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abstract body</w:t>
            </w:r>
          </w:p>
        </w:tc>
        <w:tc>
          <w:tcPr>
            <w:tcW w:w="1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abstract heading (also in Bold)</w:t>
            </w:r>
          </w:p>
        </w:tc>
      </w:tr>
      <w:tr>
        <w:trPr/>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10</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level-1 heading (in Small Caps),</w:t>
            </w:r>
          </w:p>
          <w:p>
            <w:pPr>
              <w:pStyle w:val="IEEETableCell"/>
              <w:rPr/>
            </w:pPr>
            <w:r>
              <w:rPr/>
              <w:t>paragraph</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r>
          </w:p>
        </w:tc>
        <w:tc>
          <w:tcPr>
            <w:tcW w:w="1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level-2 heading,</w:t>
            </w:r>
          </w:p>
          <w:p>
            <w:pPr>
              <w:pStyle w:val="IEEETableCell"/>
              <w:rPr/>
            </w:pPr>
            <w:r>
              <w:rPr/>
              <w:t>level-3 heading,</w:t>
            </w:r>
          </w:p>
          <w:p>
            <w:pPr>
              <w:pStyle w:val="IEEETableCell"/>
              <w:rPr/>
            </w:pPr>
            <w:r>
              <w:rPr/>
              <w:t>author affiliation</w:t>
            </w:r>
          </w:p>
        </w:tc>
      </w:tr>
      <w:tr>
        <w:trPr/>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11</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author name</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r>
          </w:p>
        </w:tc>
        <w:tc>
          <w:tcPr>
            <w:tcW w:w="1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r>
          </w:p>
        </w:tc>
      </w:tr>
      <w:tr>
        <w:trPr/>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24</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t>title</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r>
          </w:p>
        </w:tc>
        <w:tc>
          <w:tcPr>
            <w:tcW w:w="1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EEETableCell"/>
              <w:rPr/>
            </w:pPr>
            <w:r>
              <w:rPr/>
            </w:r>
          </w:p>
        </w:tc>
      </w:tr>
    </w:tbl>
    <w:p>
      <w:pPr>
        <w:pStyle w:val="IEEEParagraph"/>
        <w:rPr/>
      </w:pPr>
      <w:r>
        <w:rPr/>
      </w:r>
    </w:p>
    <w:p>
      <w:pPr>
        <w:pStyle w:val="IEEEParagraph"/>
        <w:rPr/>
      </w:pPr>
      <w:r>
        <w:rPr/>
        <w:t>All title and author details must be in single-column format and must be centered.</w:t>
      </w:r>
    </w:p>
    <w:p>
      <w:pPr>
        <w:pStyle w:val="IEEEParagraph"/>
        <w:rPr/>
      </w:pPr>
      <w:r>
        <w:rPr/>
        <w:t>Every word in a title must be capitalized except for short minor words such as “a”, “an”, “and”, “as”, “at”, “by”, “for”, “from”, “if”, “in”, “into”, “on”, “or”, “of”, “the”, “to”, “with”.</w:t>
      </w:r>
    </w:p>
    <w:p>
      <w:pPr>
        <w:pStyle w:val="IEEEParagraph"/>
        <w:rPr/>
      </w:pPr>
      <w:r>
        <w:rPr/>
        <w:t>Author details must not show any professional title (e.g. Managing Director), any academic title (e.g. Dr.) or any membership of any professional organization (e.g. Senior Member IEEE).</w:t>
      </w:r>
    </w:p>
    <w:p>
      <w:pPr>
        <w:pStyle w:val="IEEEParagraph"/>
        <w:rPr/>
      </w:pPr>
      <w:r>
        <w:rPr/>
        <w:t>To avoid confusion, the family name must be written as the last part of each author name (e.g. John A.K. Smith).</w:t>
      </w:r>
    </w:p>
    <w:p>
      <w:pPr>
        <w:pStyle w:val="IEEEParagraph"/>
        <w:rPr/>
      </w:pPr>
      <w:r>
        <w:rPr/>
        <w:t>Each affiliation must include, at the very least, the name of the institute/university and the name of the country where the author is based (e.g. University of Tokyo, Japan).</w:t>
      </w:r>
    </w:p>
    <w:p>
      <w:pPr>
        <w:pStyle w:val="IEEEParagraph"/>
        <w:rPr/>
      </w:pPr>
      <w:r>
        <w:rPr/>
        <w:t>Email address is compulsory for the corresponding author.</w:t>
      </w:r>
    </w:p>
    <w:p>
      <w:pPr>
        <w:pStyle w:val="IEEEHeading2"/>
        <w:numPr>
          <w:ilvl w:val="0"/>
          <w:numId w:val="6"/>
        </w:numPr>
        <w:ind w:left="288" w:hanging="288"/>
        <w:rPr/>
      </w:pPr>
      <w:r>
        <w:rPr/>
        <w:t>Section Headings</w:t>
      </w:r>
    </w:p>
    <w:p>
      <w:pPr>
        <w:pStyle w:val="IEEEParagraph"/>
        <w:rPr/>
      </w:pPr>
      <w:r>
        <w:rPr/>
        <w:t>No more than 3 levels of headings should be used.  All headings must be in 10pt font.  Every word in a heading must be capitalized except for short minor words as listed in Section III-B.</w:t>
      </w:r>
    </w:p>
    <w:p>
      <w:pPr>
        <w:pStyle w:val="IEEEHeading3"/>
        <w:numPr>
          <w:ilvl w:val="0"/>
          <w:numId w:val="5"/>
        </w:numPr>
        <w:ind w:hanging="0"/>
        <w:rPr>
          <w:i w:val="false"/>
          <w:i w:val="false"/>
          <w:iCs/>
        </w:rPr>
      </w:pPr>
      <w:r>
        <w:rPr/>
        <w:t>Level-1 Heading</w:t>
      </w:r>
      <w:r>
        <w:rPr>
          <w:i w:val="false"/>
          <w:iCs/>
        </w:rPr>
        <w:t>:  A level-1 heading must be in Small Caps, centered and numbered using uppercase Roman numerals.  For example, see heading “III. Page Style” of this document.  The two level-1 headings which must not be numbered are “Acknowledgment” and “References”.</w:t>
      </w:r>
    </w:p>
    <w:p>
      <w:pPr>
        <w:pStyle w:val="IEEEHeading3"/>
        <w:numPr>
          <w:ilvl w:val="0"/>
          <w:numId w:val="5"/>
        </w:numPr>
        <w:ind w:hanging="0"/>
        <w:rPr>
          <w:i w:val="false"/>
          <w:i w:val="false"/>
          <w:iCs/>
        </w:rPr>
      </w:pPr>
      <w:r>
        <w:rPr/>
        <w:t>Level-2 Heading:</w:t>
      </w:r>
      <w:r>
        <w:rPr>
          <w:i w:val="false"/>
          <w:iCs/>
        </w:rPr>
        <w:t xml:space="preserve">  A level-2 heading must be in Italic, left-justified and numbered using an uppercase alphabetic letter followed by a period.  For example, see heading “C. Section Headings” above.</w:t>
      </w:r>
    </w:p>
    <w:p>
      <w:pPr>
        <w:pStyle w:val="IEEEHeading3"/>
        <w:numPr>
          <w:ilvl w:val="0"/>
          <w:numId w:val="5"/>
        </w:numPr>
        <w:ind w:hanging="0"/>
        <w:rPr>
          <w:i w:val="false"/>
          <w:i w:val="false"/>
          <w:iCs/>
        </w:rPr>
      </w:pPr>
      <w:r>
        <w:rPr/>
        <w:t>Level-3 Heading:</w:t>
      </w:r>
      <w:r>
        <w:rPr>
          <w:i w:val="false"/>
          <w:iCs/>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pPr>
        <w:pStyle w:val="IEEEHeading2"/>
        <w:numPr>
          <w:ilvl w:val="0"/>
          <w:numId w:val="6"/>
        </w:numPr>
        <w:ind w:left="288" w:hanging="288"/>
        <w:rPr>
          <w:lang w:val="en-GB"/>
        </w:rPr>
      </w:pPr>
      <w:r>
        <w:rPr>
          <w:lang w:val="en-GB"/>
        </w:rPr>
        <w:t>Figures and Tables</w:t>
      </w:r>
    </w:p>
    <w:p>
      <w:pPr>
        <w:pStyle w:val="IEEEParagraph"/>
        <w:rPr>
          <w:lang w:val="en-GB"/>
        </w:rPr>
      </w:pPr>
      <w:r>
        <w:rPr>
          <w:lang w:val="en-GB"/>
        </w:rPr>
        <w:t>Figures and tables must be centered in the column.  Large figures and tables may span across both columns.  Any table or figure that takes up more than 1 column width must be positioned either at the top or at the bottom of the page.</w:t>
      </w:r>
    </w:p>
    <w:p>
      <w:pPr>
        <w:pStyle w:val="IEEEParagraph"/>
        <w:rPr>
          <w:lang w:val="en-GB"/>
        </w:rPr>
      </w:pPr>
      <w:r>
        <w:rPr>
          <w:lang w:val="en-GB"/>
        </w:rPr>
        <w:t>Graphics may be full</w:t>
      </w:r>
      <w:r>
        <w:rPr>
          <w:lang w:val="en-US"/>
        </w:rPr>
        <w:t xml:space="preserve"> color</w:t>
      </w:r>
      <w:r>
        <w:rPr>
          <w:lang w:val="en-GB"/>
        </w:rPr>
        <w:t xml:space="preserve">.  All colors will be retained in the online proceedings but will be gray scale in the printed proceedings.  Graphics must not use stipple fill patterns because they may not be reproduced properly.  Please use only </w:t>
      </w:r>
      <w:r>
        <w:rPr>
          <w:i/>
          <w:iCs/>
          <w:lang w:val="en-GB"/>
        </w:rPr>
        <w:t>SOLID FILL</w:t>
      </w:r>
      <w:r>
        <w:rPr>
          <w:lang w:val="en-GB"/>
        </w:rPr>
        <w:t xml:space="preserve"> </w:t>
      </w:r>
      <w:r>
        <w:rPr/>
        <w:t>colors</w:t>
      </w:r>
      <w:r>
        <w:rPr>
          <w:lang w:val="en-GB"/>
        </w:rPr>
        <w:t xml:space="preserve"> which contrast well both on screen and on a black-and-white hardcopy, as shown in Fig. 1.</w:t>
      </w:r>
    </w:p>
    <w:p>
      <w:pPr>
        <w:pStyle w:val="IEEEParagraph"/>
        <w:rPr/>
      </w:pPr>
      <w:r>
        <w:rPr/>
      </w:r>
    </w:p>
    <w:p>
      <w:pPr>
        <w:pStyle w:val="IEEEFigure"/>
        <w:rPr/>
      </w:pPr>
      <w:r>
        <w:rPr/>
        <w:drawing>
          <wp:inline distT="0" distB="0" distL="0" distR="9525">
            <wp:extent cx="2466975" cy="1790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2466975" cy="1790700"/>
                    </a:xfrm>
                    <a:prstGeom prst="rect">
                      <a:avLst/>
                    </a:prstGeom>
                  </pic:spPr>
                </pic:pic>
              </a:graphicData>
            </a:graphic>
          </wp:inline>
        </w:drawing>
      </w:r>
    </w:p>
    <w:p>
      <w:pPr>
        <w:pStyle w:val="IEEEFigureCaptionMultiLines"/>
        <w:rPr/>
      </w:pPr>
      <w:r>
        <w:rPr/>
        <w:t xml:space="preserve">Fig. </w:t>
      </w:r>
      <w:r>
        <w:rPr/>
        <w:fldChar w:fldCharType="begin"/>
      </w:r>
      <w:r>
        <w:rPr/>
        <w:instrText> SEQ "Fig." \* ARABIC </w:instrText>
      </w:r>
      <w:r>
        <w:rPr/>
        <w:fldChar w:fldCharType="separate"/>
      </w:r>
      <w:r>
        <w:rPr/>
        <w:t>1</w:t>
      </w:r>
      <w:r>
        <w:rPr/>
        <w:fldChar w:fldCharType="end"/>
      </w:r>
      <w:r>
        <w:rPr/>
        <w:t xml:space="preserve">  A sample line graph using colors which contrast well both on screen and on a black-and-white hardcopy</w:t>
      </w:r>
    </w:p>
    <w:p>
      <w:pPr>
        <w:pStyle w:val="IEEEParagraph"/>
        <w:rPr/>
      </w:pPr>
      <w:r>
        <w:rPr/>
      </w:r>
    </w:p>
    <w:p>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pPr>
        <w:pStyle w:val="IEEEParagraph"/>
        <w:rPr>
          <w:lang w:val="en-GB"/>
        </w:rPr>
      </w:pPr>
      <w:r>
        <w:rPr>
          <w:lang w:val="en-GB"/>
        </w:rPr>
        <w:t>Please check all figures in your paper both on screen and on a black-and-white hardcopy.  When you check your paper on a black-and-white hardcopy, please ensure that:</w:t>
      </w:r>
    </w:p>
    <w:p>
      <w:pPr>
        <w:pStyle w:val="IEEEParagraph"/>
        <w:numPr>
          <w:ilvl w:val="0"/>
          <w:numId w:val="3"/>
        </w:numPr>
        <w:rPr>
          <w:lang w:val="en-GB"/>
        </w:rPr>
      </w:pPr>
      <w:r>
        <w:rPr>
          <w:lang w:val="en-GB"/>
        </w:rPr>
        <w:t>the colors used in each figure contrast well,</w:t>
      </w:r>
    </w:p>
    <w:p>
      <w:pPr>
        <w:pStyle w:val="IEEEParagraph"/>
        <w:numPr>
          <w:ilvl w:val="0"/>
          <w:numId w:val="3"/>
        </w:numPr>
        <w:rPr>
          <w:lang w:val="en-GB"/>
        </w:rPr>
      </w:pPr>
      <w:r>
        <w:rPr>
          <w:lang w:val="en-GB"/>
        </w:rPr>
        <w:t>the image used in each figure is clear,</w:t>
      </w:r>
    </w:p>
    <w:p>
      <w:pPr>
        <w:pStyle w:val="IEEEParagraph"/>
        <w:numPr>
          <w:ilvl w:val="0"/>
          <w:numId w:val="3"/>
        </w:numPr>
        <w:rPr>
          <w:lang w:val="en-GB"/>
        </w:rPr>
      </w:pPr>
      <w:r>
        <w:rPr>
          <w:lang w:val="en-GB"/>
        </w:rPr>
        <w:t>all text labels in each figure are legible.</w:t>
      </w:r>
    </w:p>
    <w:p>
      <w:pPr>
        <w:pStyle w:val="IEEEParagraph"/>
        <w:numPr>
          <w:ilvl w:val="0"/>
          <w:numId w:val="3"/>
        </w:numPr>
        <w:rPr>
          <w:lang w:val="en-GB"/>
        </w:rPr>
      </w:pPr>
      <w:r>
        <w:rPr>
          <w:lang w:val="en-GB"/>
        </w:rPr>
        <w:t>That each figure is centred.</w:t>
      </w:r>
    </w:p>
    <w:p>
      <w:pPr>
        <w:pStyle w:val="IEEEHeading2"/>
        <w:numPr>
          <w:ilvl w:val="0"/>
          <w:numId w:val="6"/>
        </w:numPr>
        <w:ind w:left="288" w:hanging="288"/>
        <w:rPr/>
      </w:pPr>
      <w:r>
        <w:rPr/>
        <w:t>Figure Captions</w:t>
      </w:r>
    </w:p>
    <w:p>
      <w:pPr>
        <w:pStyle w:val="IEEEParagraph"/>
        <w:rPr>
          <w:lang w:val="en-GB"/>
        </w:rPr>
      </w:pPr>
      <w:r>
        <w:rPr>
          <w:lang w:val="en-GB"/>
        </w:rPr>
        <w:t>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w:t>
      </w:r>
    </w:p>
    <w:p>
      <w:pPr>
        <w:pStyle w:val="IEEEFigure"/>
        <w:rPr/>
      </w:pPr>
      <w:r>
        <w:rPr/>
        <w:drawing>
          <wp:inline distT="0" distB="9525" distL="0" distR="9525">
            <wp:extent cx="1628775" cy="23336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1628775" cy="2333625"/>
                    </a:xfrm>
                    <a:prstGeom prst="rect">
                      <a:avLst/>
                    </a:prstGeom>
                  </pic:spPr>
                </pic:pic>
              </a:graphicData>
            </a:graphic>
          </wp:inline>
        </w:drawing>
      </w:r>
    </w:p>
    <w:p>
      <w:pPr>
        <w:pStyle w:val="IEEEFigureCaptionSingleLine"/>
        <w:rPr/>
      </w:pPr>
      <w:r>
        <w:rPr/>
        <w:t xml:space="preserve">Fig. </w:t>
      </w:r>
      <w:r>
        <w:rPr/>
        <w:fldChar w:fldCharType="begin"/>
      </w:r>
      <w:r>
        <w:rPr/>
        <w:instrText> SEQ "Fig." \* ARABIC </w:instrText>
      </w:r>
      <w:r>
        <w:rPr/>
        <w:fldChar w:fldCharType="separate"/>
      </w:r>
      <w:r>
        <w:rPr/>
        <w:t>1</w:t>
      </w:r>
      <w:r>
        <w:rPr/>
        <w:fldChar w:fldCharType="end"/>
      </w:r>
      <w:r>
        <w:rPr/>
        <w:t xml:space="preserve">  Example of an unacceptable low-resolution image</w:t>
      </w:r>
    </w:p>
    <w:p>
      <w:pPr>
        <w:pStyle w:val="IEEEParagraph"/>
        <w:rPr/>
      </w:pPr>
      <w:r>
        <w:rPr/>
      </w:r>
    </w:p>
    <w:p>
      <w:pPr>
        <w:pStyle w:val="IEEEFigure"/>
        <w:rPr/>
      </w:pPr>
      <w:r>
        <w:rPr/>
        <w:drawing>
          <wp:inline distT="0" distB="9525" distL="0" distR="9525">
            <wp:extent cx="1533525" cy="22383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1533525" cy="2238375"/>
                    </a:xfrm>
                    <a:prstGeom prst="rect">
                      <a:avLst/>
                    </a:prstGeom>
                  </pic:spPr>
                </pic:pic>
              </a:graphicData>
            </a:graphic>
          </wp:inline>
        </w:drawing>
      </w:r>
    </w:p>
    <w:p>
      <w:pPr>
        <w:pStyle w:val="IEEEFigureCaptionSingleLine"/>
        <w:rPr/>
      </w:pPr>
      <w:r>
        <w:rPr/>
        <w:t xml:space="preserve">Fig. </w:t>
      </w:r>
      <w:r>
        <w:rPr/>
        <w:fldChar w:fldCharType="begin"/>
      </w:r>
      <w:r>
        <w:rPr/>
        <w:instrText> SEQ "Fig." \* ARABIC </w:instrText>
      </w:r>
      <w:r>
        <w:rPr/>
        <w:fldChar w:fldCharType="separate"/>
      </w:r>
      <w:r>
        <w:rPr/>
        <w:t>1</w:t>
      </w:r>
      <w:r>
        <w:rPr/>
        <w:fldChar w:fldCharType="end"/>
      </w:r>
      <w:r>
        <w:rPr/>
        <w:t xml:space="preserve">  Example of an image with acceptable resolution</w:t>
      </w:r>
    </w:p>
    <w:p>
      <w:pPr>
        <w:pStyle w:val="IEEEParagraph"/>
        <w:rPr/>
      </w:pPr>
      <w:r>
        <w:rPr/>
      </w:r>
    </w:p>
    <w:p>
      <w:pPr>
        <w:pStyle w:val="IEEEHeading2"/>
        <w:numPr>
          <w:ilvl w:val="0"/>
          <w:numId w:val="6"/>
        </w:numPr>
        <w:ind w:left="288" w:hanging="288"/>
        <w:rPr/>
      </w:pPr>
      <w:r>
        <w:rPr/>
        <w:t>Table Captions</w:t>
      </w:r>
    </w:p>
    <w:p>
      <w:pPr>
        <w:pStyle w:val="IEEEParagraph"/>
        <w:rPr>
          <w:lang w:val="en-GB"/>
        </w:rPr>
      </w:pPr>
      <w:r>
        <w:rPr>
          <w:lang w:val="en-GB"/>
        </w:rPr>
        <w:t xml:space="preserve">Tables must be numbered using uppercase Roman numerals.  Table captions must be centred and in 8 pt Regular font with Small Caps.  </w:t>
      </w:r>
      <w:r>
        <w:rPr/>
        <w:t>Every word in a table caption must be capitalized except for short minor words as listed in Section III-B</w:t>
      </w:r>
      <w:r>
        <w:rPr>
          <w:lang w:val="en-GB"/>
        </w:rPr>
        <w:t>.  Captions with table numbers must be placed before their associated tables, as shown in Table 1.</w:t>
      </w:r>
    </w:p>
    <w:p>
      <w:pPr>
        <w:pStyle w:val="IEEEParagraph"/>
        <w:rPr>
          <w:lang w:val="en-GB"/>
        </w:rPr>
      </w:pPr>
      <w:r>
        <w:rPr>
          <w:lang w:val="en-GB"/>
        </w:rPr>
      </w:r>
    </w:p>
    <w:p>
      <w:pPr>
        <w:pStyle w:val="IEEEHeading2"/>
        <w:numPr>
          <w:ilvl w:val="0"/>
          <w:numId w:val="6"/>
        </w:numPr>
        <w:ind w:left="288" w:hanging="288"/>
        <w:rPr/>
      </w:pPr>
      <w:r>
        <w:rPr/>
        <w:t>Page Numbers, Headers and Footers</w:t>
      </w:r>
    </w:p>
    <w:p>
      <w:pPr>
        <w:pStyle w:val="IEEEParagraph"/>
        <w:rPr/>
      </w:pPr>
      <w:r>
        <w:rPr/>
        <w:t xml:space="preserve">Page numbers and footers must not be used. Please leave the header unchanged. </w:t>
      </w:r>
    </w:p>
    <w:p>
      <w:pPr>
        <w:pStyle w:val="IEEEParagraph"/>
        <w:rPr/>
      </w:pPr>
      <w:r>
        <w:rPr/>
      </w:r>
    </w:p>
    <w:p>
      <w:pPr>
        <w:pStyle w:val="IEEEHeading2"/>
        <w:numPr>
          <w:ilvl w:val="0"/>
          <w:numId w:val="6"/>
        </w:numPr>
        <w:ind w:left="288" w:hanging="288"/>
        <w:rPr/>
      </w:pPr>
      <w:r>
        <w:rPr/>
        <w:t>Links and Bookmarks</w:t>
      </w:r>
    </w:p>
    <w:p>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pPr>
        <w:pStyle w:val="IEEEHeading2"/>
        <w:numPr>
          <w:ilvl w:val="0"/>
          <w:numId w:val="6"/>
        </w:numPr>
        <w:ind w:left="288" w:hanging="288"/>
        <w:rPr/>
      </w:pPr>
      <w:r>
        <w:rPr/>
        <w:t>References</w:t>
      </w:r>
    </w:p>
    <w:p>
      <w:pPr>
        <w:pStyle w:val="IEEEParagraph"/>
        <w:rPr>
          <w:lang w:val="en-GB"/>
        </w:rPr>
      </w:pPr>
      <w:r>
        <w:rPr>
          <w:lang w:val="en-GB"/>
        </w:rPr>
        <w:t>The heading of the References section must not be numbered.  All reference items must be in 8 pt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pPr>
        <w:pStyle w:val="IEEEParagraph"/>
        <w:rPr>
          <w:lang w:val="en-GB"/>
        </w:rPr>
      </w:pPr>
      <w:r>
        <w:rPr>
          <w:lang w:val="en-GB"/>
        </w:rPr>
        <w:t>Examples of reference items of different categories shown in the References section include:</w:t>
      </w:r>
    </w:p>
    <w:p>
      <w:pPr>
        <w:pStyle w:val="IEEEParagraph"/>
        <w:numPr>
          <w:ilvl w:val="0"/>
          <w:numId w:val="3"/>
        </w:numPr>
        <w:rPr>
          <w:lang w:val="en-GB"/>
        </w:rPr>
      </w:pPr>
      <w:r>
        <w:rPr>
          <w:lang w:val="en-GB"/>
        </w:rPr>
        <w:t>example of a book in [1]</w:t>
      </w:r>
    </w:p>
    <w:p>
      <w:pPr>
        <w:pStyle w:val="IEEEParagraph"/>
        <w:numPr>
          <w:ilvl w:val="0"/>
          <w:numId w:val="3"/>
        </w:numPr>
        <w:rPr/>
      </w:pPr>
      <w:r>
        <w:rPr/>
        <w:t>example of a book in a series in [2]</w:t>
      </w:r>
    </w:p>
    <w:p>
      <w:pPr>
        <w:pStyle w:val="IEEEParagraph"/>
        <w:numPr>
          <w:ilvl w:val="0"/>
          <w:numId w:val="3"/>
        </w:numPr>
        <w:rPr/>
      </w:pPr>
      <w:r>
        <w:rPr/>
        <w:t>example of a journal article in [3]</w:t>
      </w:r>
    </w:p>
    <w:p>
      <w:pPr>
        <w:pStyle w:val="IEEEParagraph"/>
        <w:numPr>
          <w:ilvl w:val="0"/>
          <w:numId w:val="3"/>
        </w:numPr>
        <w:rPr/>
      </w:pPr>
      <w:r>
        <w:rPr/>
        <w:t>example of a conference paper in [4]</w:t>
      </w:r>
    </w:p>
    <w:p>
      <w:pPr>
        <w:pStyle w:val="IEEEParagraph"/>
        <w:numPr>
          <w:ilvl w:val="0"/>
          <w:numId w:val="3"/>
        </w:numPr>
        <w:rPr/>
      </w:pPr>
      <w:r>
        <w:rPr/>
        <w:t>example of a patent in [5]</w:t>
      </w:r>
    </w:p>
    <w:p>
      <w:pPr>
        <w:pStyle w:val="IEEEParagraph"/>
        <w:numPr>
          <w:ilvl w:val="0"/>
          <w:numId w:val="3"/>
        </w:numPr>
        <w:rPr/>
      </w:pPr>
      <w:r>
        <w:rPr/>
        <w:t>example of a website in [6]</w:t>
      </w:r>
    </w:p>
    <w:p>
      <w:pPr>
        <w:pStyle w:val="IEEEParagraph"/>
        <w:numPr>
          <w:ilvl w:val="0"/>
          <w:numId w:val="3"/>
        </w:numPr>
        <w:rPr/>
      </w:pPr>
      <w:r>
        <w:rPr/>
        <w:t>example of a web page in [7]</w:t>
      </w:r>
    </w:p>
    <w:p>
      <w:pPr>
        <w:pStyle w:val="IEEEParagraph"/>
        <w:numPr>
          <w:ilvl w:val="0"/>
          <w:numId w:val="3"/>
        </w:numPr>
        <w:rPr/>
      </w:pPr>
      <w:r>
        <w:rPr/>
        <w:t>example of a databook as a manual in [8]</w:t>
      </w:r>
    </w:p>
    <w:p>
      <w:pPr>
        <w:pStyle w:val="IEEEParagraph"/>
        <w:numPr>
          <w:ilvl w:val="0"/>
          <w:numId w:val="3"/>
        </w:numPr>
        <w:rPr/>
      </w:pPr>
      <w:r>
        <w:rPr/>
        <w:t>example of a datasheet in [9]</w:t>
      </w:r>
    </w:p>
    <w:p>
      <w:pPr>
        <w:pStyle w:val="IEEEParagraph"/>
        <w:numPr>
          <w:ilvl w:val="0"/>
          <w:numId w:val="3"/>
        </w:numPr>
        <w:rPr/>
      </w:pPr>
      <w:r>
        <w:rPr/>
        <w:t>example of a master’s thesis in [10]</w:t>
      </w:r>
    </w:p>
    <w:p>
      <w:pPr>
        <w:pStyle w:val="IEEEParagraph"/>
        <w:numPr>
          <w:ilvl w:val="0"/>
          <w:numId w:val="3"/>
        </w:numPr>
        <w:rPr/>
      </w:pPr>
      <w:r>
        <w:rPr/>
        <w:t>example of a technical report in [11]</w:t>
      </w:r>
    </w:p>
    <w:p>
      <w:pPr>
        <w:pStyle w:val="IEEEParagraph"/>
        <w:numPr>
          <w:ilvl w:val="0"/>
          <w:numId w:val="3"/>
        </w:numPr>
        <w:rPr/>
      </w:pPr>
      <w:r>
        <w:rPr/>
        <w:t>example of a standard in [12]</w:t>
      </w:r>
    </w:p>
    <w:p>
      <w:pPr>
        <w:pStyle w:val="IEEEHeading1"/>
        <w:numPr>
          <w:ilvl w:val="0"/>
          <w:numId w:val="1"/>
        </w:numPr>
        <w:ind w:left="288" w:hanging="288"/>
        <w:rPr/>
      </w:pPr>
      <w:r>
        <w:rPr/>
        <w:t>Conclusions</w:t>
      </w:r>
    </w:p>
    <w:p>
      <w:pPr>
        <w:pStyle w:val="IEEEParagraph"/>
        <w:rPr>
          <w:lang w:val="en-US"/>
        </w:rPr>
      </w:pPr>
      <w:r>
        <w:rPr/>
        <w:t>This template is partly based on the template used for the 19</w:t>
      </w:r>
      <w:r>
        <w:rPr>
          <w:vertAlign w:val="superscript"/>
        </w:rPr>
        <w:t>th</w:t>
      </w:r>
      <w:r>
        <w:rPr/>
        <w:t xml:space="preserve"> ISSTT (Groningen, 2008) and the 21</w:t>
      </w:r>
      <w:r>
        <w:rPr>
          <w:vertAlign w:val="superscript"/>
        </w:rPr>
        <w:t>st</w:t>
      </w:r>
      <w:r>
        <w:rPr/>
        <w:t xml:space="preserve"> ISSTT (Oxford, 2010), which was in turn based on  “Sample IEEE Paper for A4 Page Size” </w:t>
      </w:r>
      <w:r>
        <w:rPr>
          <w:lang w:val="en-US"/>
        </w:rPr>
        <w:t>provided by courtesy of Causal Productions (www.causalproductions.com).</w:t>
      </w:r>
    </w:p>
    <w:p>
      <w:pPr>
        <w:pStyle w:val="IEEEHeading1"/>
        <w:numPr>
          <w:ilvl w:val="0"/>
          <w:numId w:val="0"/>
        </w:numPr>
        <w:ind w:left="289" w:hanging="289"/>
        <w:rPr>
          <w:lang w:val="en-US"/>
        </w:rPr>
      </w:pPr>
      <w:r>
        <w:rPr>
          <w:lang w:val="en-US"/>
        </w:rPr>
        <w:t>Acknowledgment</w:t>
      </w:r>
    </w:p>
    <w:p>
      <w:pPr>
        <w:pStyle w:val="IEEEParagraph"/>
        <w:rPr>
          <w:lang w:val="en-GB"/>
        </w:rPr>
      </w:pPr>
      <w:r>
        <w:rPr>
          <w:lang w:val="en-GB"/>
        </w:rPr>
        <w:t>The heading of the Acknowledgment section and the References section must not be numbered.</w:t>
      </w:r>
    </w:p>
    <w:p>
      <w:pPr>
        <w:pStyle w:val="IEEEHeading1"/>
        <w:numPr>
          <w:ilvl w:val="0"/>
          <w:numId w:val="0"/>
        </w:numPr>
        <w:ind w:left="289" w:hanging="289"/>
        <w:rPr/>
      </w:pPr>
      <w:r>
        <w:rPr/>
        <w:t>References</w:t>
      </w:r>
    </w:p>
    <w:p>
      <w:pPr>
        <w:pStyle w:val="IEEEReferenceItem"/>
        <w:numPr>
          <w:ilvl w:val="0"/>
          <w:numId w:val="2"/>
        </w:numPr>
        <w:rPr/>
      </w:pPr>
      <w:r>
        <w:rPr>
          <w:lang w:val="en-AU"/>
        </w:rPr>
        <w:t xml:space="preserve">S. M. Metev and V. P. Veiko, </w:t>
      </w:r>
      <w:r>
        <w:rPr>
          <w:i/>
          <w:iCs/>
          <w:lang w:val="en-AU"/>
        </w:rPr>
        <w:t>Laser Assisted Microtechnology</w:t>
      </w:r>
      <w:r>
        <w:rPr>
          <w:lang w:val="en-AU"/>
        </w:rPr>
        <w:t xml:space="preserve">, 2nd ed., </w:t>
      </w:r>
      <w:r>
        <w:rPr/>
        <w:t>R. M. Osgood, Jr., Ed.  Berlin, Germany: Springer-Verlag, 1998.</w:t>
      </w:r>
    </w:p>
    <w:p>
      <w:pPr>
        <w:pStyle w:val="IEEEReferenceItem"/>
        <w:numPr>
          <w:ilvl w:val="0"/>
          <w:numId w:val="2"/>
        </w:numPr>
        <w:rPr/>
      </w:pPr>
      <w:r>
        <w:rPr/>
        <w:t xml:space="preserve">J. Breckling, Ed., </w:t>
      </w:r>
      <w:r>
        <w:rPr>
          <w:i/>
          <w:iCs/>
        </w:rPr>
        <w:t>The Analysis of Directional Time Series: Applications to Wind Speed and Direction</w:t>
      </w:r>
      <w:r>
        <w:rPr/>
        <w:t>, ser. Lecture Notes in Statistics.  Berlin, Germany: Springer, 1989, vol. 61.</w:t>
      </w:r>
    </w:p>
    <w:p>
      <w:pPr>
        <w:pStyle w:val="IEEEReferenceItem"/>
        <w:numPr>
          <w:ilvl w:val="0"/>
          <w:numId w:val="2"/>
        </w:numPr>
        <w:rPr/>
      </w:pPr>
      <w:r>
        <w:rPr/>
        <w:t xml:space="preserve">S. Zhang, C. Zhu, J. K. O. Sin, and P. K. T. Mok, “A novel ultrathin elevated channel low-temperature poly-Si TFT,” </w:t>
      </w:r>
      <w:r>
        <w:rPr>
          <w:i/>
          <w:iCs/>
        </w:rPr>
        <w:t>IEEE Electron Device Lett.</w:t>
      </w:r>
      <w:r>
        <w:rPr/>
        <w:t>, vol. 20, pp. 569–571, Nov. 1999.</w:t>
      </w:r>
    </w:p>
    <w:p>
      <w:pPr>
        <w:pStyle w:val="IEEEReferenceItem"/>
        <w:numPr>
          <w:ilvl w:val="0"/>
          <w:numId w:val="2"/>
        </w:numPr>
        <w:rPr/>
      </w:pPr>
      <w:r>
        <w:rPr/>
        <w:t xml:space="preserve">M. Wegmuller, J. P. von der Weid, P. Oberson, and N. Gisin, “High resolution fiber distributed measurements with coherent OFDR,” in </w:t>
      </w:r>
      <w:r>
        <w:rPr>
          <w:i/>
          <w:iCs/>
        </w:rPr>
        <w:t>Proc. ECOC’00</w:t>
      </w:r>
      <w:r>
        <w:rPr/>
        <w:t>, 2000, paper 11.3.4, p. 109.</w:t>
      </w:r>
    </w:p>
    <w:p>
      <w:pPr>
        <w:pStyle w:val="IEEEReferenceItem"/>
        <w:numPr>
          <w:ilvl w:val="0"/>
          <w:numId w:val="2"/>
        </w:numPr>
        <w:rPr>
          <w:lang w:val="en-AU"/>
        </w:rPr>
      </w:pPr>
      <w:r>
        <w:rPr/>
        <w:t xml:space="preserve">R. E. Sorace, V. S. Reinhardt, and S. A. Vaughn, “High-speed digital-to-RF converter,” </w:t>
      </w:r>
      <w:r>
        <w:rPr>
          <w:lang w:val="en-AU"/>
        </w:rPr>
        <w:t>U.S. Patent 5 668 842, Sept. 16, 1997.</w:t>
      </w:r>
    </w:p>
    <w:p>
      <w:pPr>
        <w:pStyle w:val="IEEEReferenceItem"/>
        <w:numPr>
          <w:ilvl w:val="0"/>
          <w:numId w:val="2"/>
        </w:numPr>
        <w:rPr/>
      </w:pPr>
      <w:r>
        <w:rPr/>
        <w:t xml:space="preserve"> </w:t>
      </w:r>
      <w:r>
        <w:rPr>
          <w:lang w:val="en-AU"/>
        </w:rPr>
        <w:t>(2002) The IEEE website. [Online]. Available: http://www.ieee.org</w:t>
      </w:r>
      <w:r>
        <w:rPr/>
        <w:t>/</w:t>
      </w:r>
    </w:p>
    <w:p>
      <w:pPr>
        <w:pStyle w:val="IEEEReferenceItem"/>
        <w:numPr>
          <w:ilvl w:val="0"/>
          <w:numId w:val="2"/>
        </w:numPr>
        <w:rPr>
          <w:lang w:val="fr-FR"/>
        </w:rPr>
      </w:pPr>
      <w:r>
        <w:rPr>
          <w:lang w:val="en-AU"/>
        </w:rPr>
        <w:t xml:space="preserve">M. Shell. (2002) IEEEtran homepage on CTAN. </w:t>
      </w:r>
      <w:r>
        <w:rPr>
          <w:lang w:val="fr-FR"/>
        </w:rPr>
        <w:t>[Online]. Available: http://www.ctan.org/tex-archive/macros/latex/contrib/supported/IEEEtran/</w:t>
      </w:r>
    </w:p>
    <w:p>
      <w:pPr>
        <w:pStyle w:val="IEEEReferenceItem"/>
        <w:numPr>
          <w:ilvl w:val="0"/>
          <w:numId w:val="2"/>
        </w:numPr>
        <w:rPr>
          <w:lang w:val="en-AU"/>
        </w:rPr>
      </w:pPr>
      <w:r>
        <w:rPr>
          <w:i/>
          <w:iCs/>
          <w:lang w:val="en-AU"/>
        </w:rPr>
        <w:t>FLEXChip Signal Processor (MC68175/D)</w:t>
      </w:r>
      <w:r>
        <w:rPr>
          <w:lang w:val="en-AU"/>
        </w:rPr>
        <w:t>, Motorola, 1996.</w:t>
      </w:r>
    </w:p>
    <w:p>
      <w:pPr>
        <w:pStyle w:val="IEEEReferenceItem"/>
        <w:numPr>
          <w:ilvl w:val="0"/>
          <w:numId w:val="2"/>
        </w:numPr>
        <w:rPr>
          <w:lang w:val="en-AU"/>
        </w:rPr>
      </w:pPr>
      <w:r>
        <w:rPr>
          <w:lang w:val="en-AU"/>
        </w:rPr>
        <w:t>“</w:t>
      </w:r>
      <w:r>
        <w:rPr>
          <w:lang w:val="en-AU"/>
        </w:rPr>
        <w:t>PDCA12-70 data sheet,” Opto Speed SA, Mezzovico, Switzerland.</w:t>
      </w:r>
    </w:p>
    <w:p>
      <w:pPr>
        <w:pStyle w:val="IEEEReferenceItem"/>
        <w:numPr>
          <w:ilvl w:val="0"/>
          <w:numId w:val="2"/>
        </w:numPr>
        <w:rPr/>
      </w:pPr>
      <w:r>
        <w:rPr/>
        <w:t xml:space="preserve">A. Karnik, “Performance of TCP congestion control with rate feedback: </w:t>
      </w:r>
      <w:r>
        <w:rPr>
          <w:lang w:val="en-AU"/>
        </w:rPr>
        <w:t xml:space="preserve">TCP/ABR and rate adaptive TCP/IP,” M. Eng. thesis, Indian Institute of </w:t>
      </w:r>
      <w:r>
        <w:rPr/>
        <w:t>Science, Bangalore, India, Jan. 1999.</w:t>
      </w:r>
    </w:p>
    <w:p>
      <w:pPr>
        <w:pStyle w:val="IEEEReferenceItem"/>
        <w:numPr>
          <w:ilvl w:val="0"/>
          <w:numId w:val="2"/>
        </w:numPr>
        <w:rPr/>
      </w:pPr>
      <w:r>
        <w:rPr/>
        <w:t xml:space="preserve">J. Padhye, V. Firoiu, and D. Towsley, “A stochastic model of TCP Reno </w:t>
      </w:r>
      <w:r>
        <w:rPr>
          <w:lang w:val="en-AU"/>
        </w:rPr>
        <w:t xml:space="preserve">congestion avoidance and control,” Univ. of Massachusetts, Amherst, </w:t>
      </w:r>
      <w:r>
        <w:rPr/>
        <w:t>MA, CMPSCI Tech. Rep. 99-02, 1999.</w:t>
      </w:r>
    </w:p>
    <w:p>
      <w:pPr>
        <w:pStyle w:val="IEEEReferenceItem"/>
        <w:numPr>
          <w:ilvl w:val="0"/>
          <w:numId w:val="2"/>
        </w:numPr>
        <w:rPr/>
      </w:pPr>
      <w:r>
        <w:rPr>
          <w:i/>
          <w:iCs/>
        </w:rPr>
        <w:t>Wireless LAN Medium Access Control (MAC) and Physical Layer (PHY) Specification</w:t>
      </w:r>
      <w:r>
        <w:rPr>
          <w:lang w:val="en-AU"/>
        </w:rPr>
        <w:t xml:space="preserve">, </w:t>
      </w:r>
      <w:r>
        <w:rPr/>
        <w:t>IEEE Std. 802.11, 1997.</w:t>
      </w:r>
    </w:p>
    <w:p>
      <w:pPr>
        <w:sectPr>
          <w:type w:val="continuous"/>
          <w:pgSz w:w="12240" w:h="15840"/>
          <w:pgMar w:left="868" w:right="868" w:header="709" w:top="1276" w:footer="0" w:bottom="1871" w:gutter="0"/>
          <w:cols w:num="2" w:space="284" w:equalWidth="true" w:sep="false"/>
          <w:formProt w:val="false"/>
          <w:textDirection w:val="lrTb"/>
          <w:docGrid w:type="default" w:linePitch="600" w:charSpace="32768"/>
        </w:sectPr>
      </w:pPr>
    </w:p>
    <w:p>
      <w:pPr>
        <w:pStyle w:val="IEEEParagraph"/>
        <w:rPr/>
      </w:pPr>
      <w:r>
        <w:rPr/>
      </w:r>
    </w:p>
    <w:p>
      <w:pPr>
        <w:sectPr>
          <w:type w:val="continuous"/>
          <w:pgSz w:w="12240" w:h="15840"/>
          <w:pgMar w:left="868" w:right="868" w:header="709" w:top="1276" w:footer="0" w:bottom="1871" w:gutter="0"/>
          <w:formProt w:val="false"/>
          <w:textDirection w:val="lrTb"/>
          <w:docGrid w:type="default" w:linePitch="600" w:charSpace="32768"/>
        </w:sectPr>
      </w:pPr>
    </w:p>
    <w:sectPr>
      <w:type w:val="continuous"/>
      <w:pgSz w:w="12240" w:h="15840"/>
      <w:pgMar w:left="868" w:right="868" w:header="709" w:top="1276" w:footer="0" w:bottom="187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Times">
    <w:altName w:val="Times New Roman"/>
    <w:charset w:val="01"/>
    <w:family w:val="roman"/>
    <w:pitch w:val="variable"/>
  </w:font>
  <w:font w:name="Tahoma">
    <w:charset w:val="01"/>
    <w:family w:val="roman"/>
    <w:pitch w:val="variable"/>
  </w:font>
  <w:font w:name="Courier">
    <w:altName w:val="Courier New"/>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iCs/>
        <w:caps/>
        <w:sz w:val="16"/>
        <w:szCs w:val="16"/>
        <w:lang w:val="en-GB"/>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288"/>
        </w:tabs>
        <w:ind w:left="288" w:hanging="288"/>
      </w:pPr>
      <w:rPr>
        <w:caps/>
        <w:dstrike w:val="false"/>
        <w:strike w:val="false"/>
        <w:vertAlign w:val="baseline"/>
        <w:position w:val="0"/>
        <w:sz w:val="20"/>
        <w:sz w:val="20"/>
        <w:spacing w:val="0"/>
        <w:i w:val="false"/>
        <w:u w:val="none"/>
        <w:b w:val="false"/>
        <w:kern w:val="2"/>
        <w:szCs w:val="20"/>
        <w:iCs w:val="false"/>
        <w:bCs w:val="false"/>
        <w:em w:val="none"/>
        <w:vanish w:val="false"/>
        <w:rFonts w:eastAsia="Arial Unicode MS" w:cs="Times New Roman"/>
        <w:color w:val="000000"/>
      </w:rPr>
    </w:lvl>
    <w:lvl w:ilvl="1">
      <w:start w:val="1"/>
      <w:numFmt w:val="upperLetter"/>
      <w:lvlText w:val="%2."/>
      <w:lvlJc w:val="left"/>
      <w:pPr>
        <w:tabs>
          <w:tab w:val="num" w:pos="288"/>
        </w:tabs>
        <w:ind w:left="288" w:hanging="288"/>
      </w:pPr>
      <w:rPr>
        <w:sz w:val="20"/>
        <w:i w:val="false"/>
        <w:b w:val="fals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lvl w:ilvl="0">
      <w:start w:val="1"/>
      <w:numFmt w:val="bullet"/>
      <w:lvlText w:val=""/>
      <w:lvlJc w:val="left"/>
      <w:pPr>
        <w:tabs>
          <w:tab w:val="num" w:pos="432"/>
        </w:tabs>
        <w:ind w:left="432" w:hanging="144"/>
      </w:pPr>
      <w:rPr>
        <w:rFonts w:ascii="Symbol" w:hAnsi="Symbol" w:cs="Symbol" w:hint="default"/>
        <w:sz w:val="20"/>
        <w:szCs w:val="16"/>
        <w:rFonts w:cs="Times New Roman"/>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upperLetter"/>
      <w:lvlText w:val="%1."/>
      <w:lvlJc w:val="left"/>
      <w:pPr>
        <w:tabs>
          <w:tab w:val="num" w:pos="288"/>
        </w:tabs>
        <w:ind w:left="288" w:hanging="288"/>
      </w:pPr>
      <w:rPr>
        <w:caps/>
        <w:dstrike w:val="false"/>
        <w:strike w:val="false"/>
        <w:vertAlign w:val="baseline"/>
        <w:position w:val="0"/>
        <w:sz w:val="20"/>
        <w:sz w:val="20"/>
        <w:spacing w:val="0"/>
        <w:i/>
        <w:u w:val="none"/>
        <w:b w:val="false"/>
        <w:kern w:val="2"/>
        <w:szCs w:val="24"/>
        <w:iCs w:val="false"/>
        <w:bCs/>
        <w:em w:val="none"/>
        <w:vanish w:val="false"/>
        <w:rFonts w:eastAsia="Arial Unicode MS" w:cs="Times New Roman"/>
        <w:color w:val="000000"/>
      </w:rPr>
    </w:lvl>
    <w:lvl w:ilvl="1">
      <w:start w:val="1"/>
      <w:numFmt w:val="upperLetter"/>
      <w:lvlText w:val="%2."/>
      <w:lvlJc w:val="left"/>
      <w:pPr>
        <w:tabs>
          <w:tab w:val="num" w:pos="288"/>
        </w:tabs>
        <w:ind w:left="288" w:hanging="288"/>
      </w:pPr>
      <w:rPr>
        <w:sz w:val="20"/>
        <w:i w:val="false"/>
        <w:b w:val="fals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decimal"/>
      <w:suff w:val="nothing"/>
      <w:lvlText w:val="%1)  "/>
      <w:lvlJc w:val="left"/>
      <w:pPr>
        <w:ind w:left="0" w:hanging="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lvl w:ilvl="0">
      <w:start w:val="1"/>
      <w:numFmt w:val="upperLetter"/>
      <w:lvlText w:val="%1."/>
      <w:lvlJc w:val="left"/>
      <w:pPr>
        <w:tabs>
          <w:tab w:val="num" w:pos="288"/>
        </w:tabs>
        <w:ind w:left="288" w:hanging="288"/>
      </w:pPr>
      <w:rPr>
        <w:caps/>
        <w:dstrike w:val="false"/>
        <w:strike w:val="false"/>
        <w:vertAlign w:val="baseline"/>
        <w:position w:val="0"/>
        <w:sz w:val="20"/>
        <w:sz w:val="20"/>
        <w:spacing w:val="0"/>
        <w:i/>
        <w:u w:val="none"/>
        <w:b w:val="false"/>
        <w:kern w:val="2"/>
        <w:szCs w:val="24"/>
        <w:iCs w:val="false"/>
        <w:bCs/>
        <w:em w:val="none"/>
        <w:vanish w:val="false"/>
        <w:rFonts w:eastAsia="Arial Unicode MS" w:cs="Times New Roman"/>
        <w:color w:val="000000"/>
      </w:rPr>
    </w:lvl>
    <w:lvl w:ilvl="1">
      <w:start w:val="1"/>
      <w:numFmt w:val="upperLetter"/>
      <w:lvlText w:val="%2."/>
      <w:lvlJc w:val="left"/>
      <w:pPr>
        <w:tabs>
          <w:tab w:val="num" w:pos="288"/>
        </w:tabs>
        <w:ind w:left="288" w:hanging="288"/>
      </w:pPr>
      <w:rPr>
        <w:sz w:val="20"/>
        <w:i w:val="false"/>
        <w:b w:val="fals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eastAsia="SimSun" w:ascii="Times New Roman" w:hAnsi="Times New Roman" w:cs="Times New Roman"/>
      <w:color w:val="auto"/>
      <w:kern w:val="0"/>
      <w:sz w:val="24"/>
      <w:szCs w:val="24"/>
      <w:lang w:val="en-AU" w:eastAsia="ar-SA"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character" w:styleId="DefaultParagraphFont" w:default="1">
    <w:name w:val="Default Paragraph Font"/>
    <w:semiHidden/>
    <w:qFormat/>
    <w:rPr/>
  </w:style>
  <w:style w:type="character" w:styleId="WW8Num3z0" w:customStyle="1">
    <w:name w:val="WW8Num3z0"/>
    <w:qFormat/>
    <w:rPr>
      <w:rFonts w:ascii="Times New Roman" w:hAnsi="Times New Roman" w:eastAsia="Arial Unicode MS" w:cs="Times New Roman"/>
      <w:b w:val="false"/>
      <w:bCs w:val="false"/>
      <w:i w:val="false"/>
      <w:iCs w:val="false"/>
      <w:caps/>
      <w:strike w:val="false"/>
      <w:dstrike w:val="false"/>
      <w:vanish w:val="false"/>
      <w:color w:val="000000"/>
      <w:spacing w:val="0"/>
      <w:kern w:val="2"/>
      <w:position w:val="0"/>
      <w:sz w:val="2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styleId="WW8Num3z1" w:customStyle="1">
    <w:name w:val="WW8Num3z1"/>
    <w:qFormat/>
    <w:rPr>
      <w:rFonts w:ascii="Times New Roman" w:hAnsi="Times New Roman"/>
      <w:b w:val="false"/>
      <w:i w:val="false"/>
      <w:sz w:val="20"/>
    </w:rPr>
  </w:style>
  <w:style w:type="character" w:styleId="WW8Num6z0" w:customStyle="1">
    <w:name w:val="WW8Num6z0"/>
    <w:qFormat/>
    <w:rPr>
      <w:rFonts w:ascii="Times New Roman" w:hAnsi="Times New Roman" w:eastAsia="Arial Unicode MS" w:cs="Times New Roman"/>
      <w:bCs/>
      <w:i w:val="false"/>
      <w:iCs w:val="false"/>
      <w:caps/>
      <w:strike w:val="false"/>
      <w:dstrike w:val="false"/>
      <w:vanish w:val="false"/>
      <w:color w:val="000000"/>
      <w:spacing w:val="0"/>
      <w:kern w:val="2"/>
      <w:position w:val="0"/>
      <w:sz w:val="2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styleId="WW8Num6z1" w:customStyle="1">
    <w:name w:val="WW8Num6z1"/>
    <w:qFormat/>
    <w:rPr>
      <w:rFonts w:ascii="Symbol" w:hAnsi="Symbol" w:eastAsia="SimSun"/>
      <w:b/>
      <w:bCs/>
      <w:caps/>
      <w:color w:val="000000"/>
      <w:sz w:val="16"/>
      <w:szCs w:val="24"/>
    </w:rPr>
  </w:style>
  <w:style w:type="character" w:styleId="WW8Num8z0" w:customStyle="1">
    <w:name w:val="WW8Num8z0"/>
    <w:qFormat/>
    <w:rPr>
      <w:rFonts w:ascii="Times" w:hAnsi="Times" w:eastAsia="Arial Unicode MS" w:cs="Times New Roman"/>
      <w:b/>
      <w:bCs/>
      <w:i w:val="false"/>
      <w:iCs w:val="false"/>
      <w:caps/>
      <w:strike w:val="false"/>
      <w:dstrike w:val="false"/>
      <w:vanish w:val="false"/>
      <w:color w:val="000000"/>
      <w:spacing w:val="0"/>
      <w:kern w:val="2"/>
      <w:position w:val="0"/>
      <w:sz w:val="24"/>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styleId="WW8Num8z1" w:customStyle="1">
    <w:name w:val="WW8Num8z1"/>
    <w:qFormat/>
    <w:rPr>
      <w:rFonts w:ascii="Times New Roman" w:hAnsi="Times New Roman"/>
      <w:b w:val="false"/>
      <w:i w:val="false"/>
      <w:sz w:val="20"/>
    </w:rPr>
  </w:style>
  <w:style w:type="character" w:styleId="WW8Num14z1" w:customStyle="1">
    <w:name w:val="WW8Num14z1"/>
    <w:qFormat/>
    <w:rPr>
      <w:rFonts w:ascii="Symbol" w:hAnsi="Symbol"/>
      <w:sz w:val="16"/>
    </w:rPr>
  </w:style>
  <w:style w:type="character" w:styleId="WW8Num15z0" w:customStyle="1">
    <w:name w:val="WW8Num15z0"/>
    <w:qFormat/>
    <w:rPr>
      <w:rFonts w:ascii="Times New Roman" w:hAnsi="Times New Roman" w:cs="Times New Roman"/>
      <w:b w:val="false"/>
      <w:i w:val="false"/>
      <w:sz w:val="20"/>
      <w:szCs w:val="16"/>
    </w:rPr>
  </w:style>
  <w:style w:type="character" w:styleId="WW8Num15z1" w:customStyle="1">
    <w:name w:val="WW8Num15z1"/>
    <w:qFormat/>
    <w:rPr>
      <w:rFonts w:ascii="Symbol" w:hAnsi="Symbol" w:eastAsia="SimSun"/>
      <w:sz w:val="16"/>
      <w:szCs w:val="24"/>
    </w:rPr>
  </w:style>
  <w:style w:type="character" w:styleId="WW8Num16z0" w:customStyle="1">
    <w:name w:val="WW8Num16z0"/>
    <w:qFormat/>
    <w:rPr>
      <w:rFonts w:ascii="Times" w:hAnsi="Times" w:eastAsia="Arial Unicode MS" w:cs="Times New Roman"/>
      <w:b/>
      <w:bCs/>
      <w:i w:val="false"/>
      <w:iCs w:val="false"/>
      <w:caps/>
      <w:strike w:val="false"/>
      <w:dstrike w:val="false"/>
      <w:vanish w:val="false"/>
      <w:color w:val="000000"/>
      <w:spacing w:val="0"/>
      <w:kern w:val="2"/>
      <w:position w:val="0"/>
      <w:sz w:val="24"/>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styleId="WW8Num16z1" w:customStyle="1">
    <w:name w:val="WW8Num16z1"/>
    <w:qFormat/>
    <w:rPr>
      <w:rFonts w:ascii="Times New Roman" w:hAnsi="Times New Roman"/>
      <w:b w:val="false"/>
      <w:i w:val="false"/>
      <w:sz w:val="20"/>
    </w:rPr>
  </w:style>
  <w:style w:type="character" w:styleId="WW8Num21z0" w:customStyle="1">
    <w:name w:val="WW8Num21z0"/>
    <w:qFormat/>
    <w:rPr>
      <w:rFonts w:ascii="Symbol" w:hAnsi="Symbol" w:cs="Times New Roman"/>
      <w:sz w:val="20"/>
      <w:szCs w:val="16"/>
    </w:rPr>
  </w:style>
  <w:style w:type="character" w:styleId="WW8Num21z1" w:customStyle="1">
    <w:name w:val="WW8Num21z1"/>
    <w:qFormat/>
    <w:rPr>
      <w:rFonts w:ascii="Symbol" w:hAnsi="Symbol" w:eastAsia="SimSun"/>
      <w:sz w:val="16"/>
      <w:szCs w:val="24"/>
    </w:rPr>
  </w:style>
  <w:style w:type="character" w:styleId="WW8Num23z0" w:customStyle="1">
    <w:name w:val="WW8Num23z0"/>
    <w:qFormat/>
    <w:rPr>
      <w:rFonts w:ascii="Symbol" w:hAnsi="Symbol" w:cs="Times New Roman"/>
      <w:sz w:val="20"/>
      <w:szCs w:val="16"/>
    </w:rPr>
  </w:style>
  <w:style w:type="character" w:styleId="WW8Num23z1" w:customStyle="1">
    <w:name w:val="WW8Num23z1"/>
    <w:qFormat/>
    <w:rPr>
      <w:rFonts w:ascii="Symbol" w:hAnsi="Symbol" w:eastAsia="SimSun"/>
      <w:sz w:val="16"/>
      <w:szCs w:val="24"/>
    </w:rPr>
  </w:style>
  <w:style w:type="character" w:styleId="WW8Num24z1" w:customStyle="1">
    <w:name w:val="WW8Num24z1"/>
    <w:qFormat/>
    <w:rPr>
      <w:rFonts w:ascii="Symbol" w:hAnsi="Symbol"/>
      <w:sz w:val="16"/>
    </w:rPr>
  </w:style>
  <w:style w:type="character" w:styleId="WW8Num26z1" w:customStyle="1">
    <w:name w:val="WW8Num26z1"/>
    <w:qFormat/>
    <w:rPr>
      <w:rFonts w:ascii="Symbol" w:hAnsi="Symbol" w:eastAsia="SimSun"/>
      <w:sz w:val="16"/>
      <w:szCs w:val="24"/>
    </w:rPr>
  </w:style>
  <w:style w:type="character" w:styleId="WW8Num28z0" w:customStyle="1">
    <w:name w:val="WW8Num28z0"/>
    <w:qFormat/>
    <w:rPr>
      <w:rFonts w:ascii="Times" w:hAnsi="Times" w:eastAsia="Arial Unicode MS" w:cs="Times New Roman"/>
      <w:b/>
      <w:bCs/>
      <w:i w:val="false"/>
      <w:iCs w:val="false"/>
      <w:caps/>
      <w:strike w:val="false"/>
      <w:dstrike w:val="false"/>
      <w:vanish w:val="false"/>
      <w:color w:val="000000"/>
      <w:spacing w:val="0"/>
      <w:kern w:val="2"/>
      <w:position w:val="0"/>
      <w:sz w:val="24"/>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styleId="WW8Num28z1" w:customStyle="1">
    <w:name w:val="WW8Num28z1"/>
    <w:qFormat/>
    <w:rPr>
      <w:rFonts w:ascii="Symbol" w:hAnsi="Symbol"/>
      <w:b/>
      <w:bCs/>
      <w:i w:val="false"/>
      <w:iCs w:val="false"/>
      <w:caps/>
      <w:strike w:val="false"/>
      <w:dstrike w:val="false"/>
      <w:vanish w:val="false"/>
      <w:color w:val="000000"/>
      <w:spacing w:val="0"/>
      <w:kern w:val="2"/>
      <w:position w:val="0"/>
      <w:sz w:val="16"/>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styleId="WW8Num29z0" w:customStyle="1">
    <w:name w:val="WW8Num29z0"/>
    <w:qFormat/>
    <w:rPr>
      <w:rFonts w:ascii="Symbol" w:hAnsi="Symbol" w:cs="Times New Roman"/>
      <w:sz w:val="16"/>
      <w:szCs w:val="16"/>
    </w:rPr>
  </w:style>
  <w:style w:type="character" w:styleId="WW8Num29z1" w:customStyle="1">
    <w:name w:val="WW8Num29z1"/>
    <w:qFormat/>
    <w:rPr>
      <w:rFonts w:ascii="Symbol" w:hAnsi="Symbol" w:eastAsia="SimSun"/>
      <w:sz w:val="16"/>
      <w:szCs w:val="24"/>
    </w:rPr>
  </w:style>
  <w:style w:type="character" w:styleId="WW8Num31z1" w:customStyle="1">
    <w:name w:val="WW8Num31z1"/>
    <w:qFormat/>
    <w:rPr>
      <w:rFonts w:ascii="Symbol" w:hAnsi="Symbol"/>
      <w:sz w:val="16"/>
    </w:rPr>
  </w:style>
  <w:style w:type="character" w:styleId="WW8Num32z0" w:customStyle="1">
    <w:name w:val="WW8Num32z0"/>
    <w:qFormat/>
    <w:rPr>
      <w:rFonts w:ascii="Times New Roman" w:hAnsi="Times New Roman" w:eastAsia="Arial Unicode MS" w:cs="Times New Roman"/>
      <w:b w:val="false"/>
      <w:bCs/>
      <w:i/>
      <w:iCs w:val="false"/>
      <w:caps/>
      <w:strike w:val="false"/>
      <w:dstrike w:val="false"/>
      <w:vanish w:val="false"/>
      <w:color w:val="000000"/>
      <w:spacing w:val="0"/>
      <w:kern w:val="2"/>
      <w:position w:val="0"/>
      <w:sz w:val="2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styleId="WW8Num32z1" w:customStyle="1">
    <w:name w:val="WW8Num32z1"/>
    <w:qFormat/>
    <w:rPr>
      <w:rFonts w:ascii="Times New Roman" w:hAnsi="Times New Roman"/>
      <w:b w:val="false"/>
      <w:i w:val="false"/>
      <w:sz w:val="20"/>
    </w:rPr>
  </w:style>
  <w:style w:type="character" w:styleId="WW8Num34z0" w:customStyle="1">
    <w:name w:val="WW8Num34z0"/>
    <w:qFormat/>
    <w:rPr>
      <w:rFonts w:ascii="Times" w:hAnsi="Times" w:eastAsia="Arial Unicode MS" w:cs="Times New Roman"/>
      <w:b/>
      <w:bCs/>
      <w:i w:val="false"/>
      <w:iCs w:val="false"/>
      <w:caps/>
      <w:strike w:val="false"/>
      <w:dstrike w:val="false"/>
      <w:vanish w:val="false"/>
      <w:color w:val="000000"/>
      <w:spacing w:val="0"/>
      <w:kern w:val="2"/>
      <w:position w:val="0"/>
      <w:sz w:val="24"/>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styleId="WW8Num34z1" w:customStyle="1">
    <w:name w:val="WW8Num34z1"/>
    <w:qFormat/>
    <w:rPr>
      <w:rFonts w:ascii="Symbol" w:hAnsi="Symbol"/>
      <w:b/>
      <w:bCs/>
      <w:i w:val="false"/>
      <w:iCs w:val="false"/>
      <w:caps/>
      <w:strike w:val="false"/>
      <w:dstrike w:val="false"/>
      <w:vanish w:val="false"/>
      <w:color w:val="000000"/>
      <w:spacing w:val="0"/>
      <w:kern w:val="2"/>
      <w:position w:val="0"/>
      <w:sz w:val="16"/>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styleId="WW8Num36z1" w:customStyle="1">
    <w:name w:val="WW8Num36z1"/>
    <w:qFormat/>
    <w:rPr>
      <w:rFonts w:ascii="Symbol" w:hAnsi="Symbol" w:eastAsia="SimSun"/>
      <w:sz w:val="16"/>
      <w:szCs w:val="24"/>
    </w:rPr>
  </w:style>
  <w:style w:type="character" w:styleId="WW8Num40z1" w:customStyle="1">
    <w:name w:val="WW8Num40z1"/>
    <w:qFormat/>
    <w:rPr>
      <w:rFonts w:ascii="Symbol" w:hAnsi="Symbol"/>
      <w:sz w:val="16"/>
    </w:rPr>
  </w:style>
  <w:style w:type="character" w:styleId="WW8Num41z0" w:customStyle="1">
    <w:name w:val="WW8Num41z0"/>
    <w:qFormat/>
    <w:rPr>
      <w:rFonts w:ascii="Times New Roman" w:hAnsi="Times New Roman" w:eastAsia="Arial Unicode MS" w:cs="Times New Roman"/>
      <w:bCs/>
      <w:i w:val="false"/>
      <w:iCs w:val="false"/>
      <w:caps/>
      <w:strike w:val="false"/>
      <w:dstrike w:val="false"/>
      <w:vanish w:val="false"/>
      <w:color w:val="000000"/>
      <w:spacing w:val="0"/>
      <w:kern w:val="2"/>
      <w:position w:val="0"/>
      <w:sz w:val="2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styleId="WW8Num41z1" w:customStyle="1">
    <w:name w:val="WW8Num41z1"/>
    <w:qFormat/>
    <w:rPr>
      <w:rFonts w:ascii="Symbol" w:hAnsi="Symbol" w:eastAsia="SimSun"/>
      <w:b/>
      <w:bCs/>
      <w:caps/>
      <w:color w:val="000000"/>
      <w:sz w:val="16"/>
      <w:szCs w:val="24"/>
    </w:rPr>
  </w:style>
  <w:style w:type="character" w:styleId="WW8Num43z0" w:customStyle="1">
    <w:name w:val="WW8Num43z0"/>
    <w:qFormat/>
    <w:rPr>
      <w:rFonts w:ascii="Symbol" w:hAnsi="Symbol" w:cs="Times New Roman"/>
      <w:sz w:val="20"/>
      <w:szCs w:val="16"/>
    </w:rPr>
  </w:style>
  <w:style w:type="character" w:styleId="WW8Num43z1" w:customStyle="1">
    <w:name w:val="WW8Num43z1"/>
    <w:qFormat/>
    <w:rPr>
      <w:rFonts w:ascii="Symbol" w:hAnsi="Symbol" w:eastAsia="SimSun"/>
      <w:sz w:val="16"/>
      <w:szCs w:val="24"/>
    </w:rPr>
  </w:style>
  <w:style w:type="character" w:styleId="WW8Num46z1" w:customStyle="1">
    <w:name w:val="WW8Num46z1"/>
    <w:qFormat/>
    <w:rPr>
      <w:rFonts w:ascii="Symbol" w:hAnsi="Symbol"/>
      <w:sz w:val="16"/>
    </w:rPr>
  </w:style>
  <w:style w:type="character" w:styleId="WW8Num47z0" w:customStyle="1">
    <w:name w:val="WW8Num47z0"/>
    <w:qFormat/>
    <w:rPr>
      <w:rFonts w:ascii="Times" w:hAnsi="Times" w:eastAsia="Arial Unicode MS" w:cs="Times New Roman"/>
      <w:b w:val="false"/>
      <w:bCs/>
      <w:i w:val="false"/>
      <w:iCs w:val="false"/>
      <w:caps/>
      <w:strike w:val="false"/>
      <w:dstrike w:val="false"/>
      <w:vanish w:val="false"/>
      <w:color w:val="000000"/>
      <w:spacing w:val="0"/>
      <w:kern w:val="2"/>
      <w:position w:val="0"/>
      <w:sz w:val="2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styleId="WW8Num47z1" w:customStyle="1">
    <w:name w:val="WW8Num47z1"/>
    <w:qFormat/>
    <w:rPr>
      <w:rFonts w:ascii="Times New Roman" w:hAnsi="Times New Roman"/>
      <w:b w:val="false"/>
      <w:i w:val="false"/>
      <w:sz w:val="20"/>
    </w:rPr>
  </w:style>
  <w:style w:type="character" w:styleId="IEEEAbstractHeadingChar" w:customStyle="1">
    <w:name w:val="IEEE Abstract Heading Char"/>
    <w:qFormat/>
    <w:rPr>
      <w:rFonts w:eastAsia="SimSun"/>
      <w:b/>
      <w:i/>
      <w:sz w:val="18"/>
      <w:szCs w:val="24"/>
      <w:lang w:val="en-GB" w:eastAsia="ar-SA" w:bidi="ar-SA"/>
    </w:rPr>
  </w:style>
  <w:style w:type="character" w:styleId="IEEEAbtractChar" w:customStyle="1">
    <w:name w:val="IEEE Abtract Char"/>
    <w:qFormat/>
    <w:rPr>
      <w:rFonts w:eastAsia="SimSun"/>
      <w:b/>
      <w:sz w:val="18"/>
      <w:szCs w:val="24"/>
      <w:lang w:val="en-GB" w:eastAsia="ar-SA" w:bidi="ar-SA"/>
    </w:rPr>
  </w:style>
  <w:style w:type="character" w:styleId="IEEEParagraphChar" w:customStyle="1">
    <w:name w:val="IEEE Paragraph Char"/>
    <w:qFormat/>
    <w:rPr>
      <w:rFonts w:eastAsia="SimSun"/>
      <w:sz w:val="24"/>
      <w:szCs w:val="24"/>
      <w:lang w:val="en-AU" w:eastAsia="ar-SA" w:bidi="ar-SA"/>
    </w:rPr>
  </w:style>
  <w:style w:type="character" w:styleId="IEEEHeading3Char" w:customStyle="1">
    <w:name w:val="IEEE Heading 3 Char"/>
    <w:qFormat/>
    <w:rPr>
      <w:rFonts w:eastAsia="SimSun"/>
      <w:i/>
      <w:szCs w:val="24"/>
      <w:lang w:val="en-AU" w:eastAsia="ar-SA" w:bidi="ar-SA"/>
    </w:rPr>
  </w:style>
  <w:style w:type="character" w:styleId="CharChar2" w:customStyle="1">
    <w:name w:val=" Char Char2"/>
    <w:qFormat/>
    <w:rPr>
      <w:rFonts w:ascii="Tahoma" w:hAnsi="Tahoma" w:cs="Tahoma"/>
      <w:sz w:val="16"/>
      <w:szCs w:val="16"/>
      <w:lang w:val="en-AU"/>
    </w:rPr>
  </w:style>
  <w:style w:type="character" w:styleId="Annotationreference">
    <w:name w:val="annotation reference"/>
    <w:qFormat/>
    <w:rPr>
      <w:sz w:val="16"/>
      <w:szCs w:val="16"/>
    </w:rPr>
  </w:style>
  <w:style w:type="character" w:styleId="CharChar1" w:customStyle="1">
    <w:name w:val=" Char Char1"/>
    <w:qFormat/>
    <w:rPr>
      <w:lang w:val="en-AU"/>
    </w:rPr>
  </w:style>
  <w:style w:type="character" w:styleId="CharChar" w:customStyle="1">
    <w:name w:val=" Char Char"/>
    <w:qFormat/>
    <w:rPr>
      <w:b/>
      <w:bCs/>
      <w:lang w:val="en-AU"/>
    </w:rPr>
  </w:style>
  <w:style w:type="character" w:styleId="InternetLink">
    <w:name w:val="Internet Link"/>
    <w:rPr>
      <w:color w:val="0000FF"/>
      <w:u w:val="single"/>
    </w:rPr>
  </w:style>
  <w:style w:type="character" w:styleId="ListLabel1">
    <w:name w:val="ListLabel 1"/>
    <w:qFormat/>
    <w:rPr>
      <w:rFonts w:eastAsia="Arial Unicode MS" w:cs="Times New Roman"/>
      <w:b w:val="false"/>
      <w:bCs w:val="false"/>
      <w:i w:val="false"/>
      <w:iCs w:val="false"/>
      <w:caps/>
      <w:strike w:val="false"/>
      <w:dstrike w:val="false"/>
      <w:vanish w:val="false"/>
      <w:color w:val="000000"/>
      <w:spacing w:val="0"/>
      <w:kern w:val="2"/>
      <w:position w:val="0"/>
      <w:sz w:val="20"/>
      <w:sz w:val="20"/>
      <w:szCs w:val="20"/>
      <w:u w:val="none"/>
      <w:vertAlign w:val="baseline"/>
      <w:em w:val="none"/>
    </w:rPr>
  </w:style>
  <w:style w:type="character" w:styleId="ListLabel2">
    <w:name w:val="ListLabel 2"/>
    <w:qFormat/>
    <w:rPr>
      <w:b w:val="false"/>
      <w:i w:val="false"/>
      <w:sz w:val="20"/>
    </w:rPr>
  </w:style>
  <w:style w:type="character" w:styleId="ListLabel3">
    <w:name w:val="ListLabel 3"/>
    <w:qFormat/>
    <w:rPr>
      <w:rFonts w:cs="Times New Roman"/>
      <w:sz w:val="20"/>
      <w:szCs w:val="16"/>
    </w:rPr>
  </w:style>
  <w:style w:type="character" w:styleId="ListLabel4">
    <w:name w:val="ListLabel 4"/>
    <w:qFormat/>
    <w:rPr>
      <w:sz w:val="16"/>
      <w:szCs w:val="24"/>
    </w:rPr>
  </w:style>
  <w:style w:type="character" w:styleId="ListLabel5">
    <w:name w:val="ListLabel 5"/>
    <w:qFormat/>
    <w:rPr>
      <w:rFonts w:eastAsia="Arial Unicode MS" w:cs="Times New Roman"/>
      <w:b w:val="false"/>
      <w:bCs/>
      <w:i/>
      <w:iCs w:val="false"/>
      <w:caps/>
      <w:strike w:val="false"/>
      <w:dstrike w:val="false"/>
      <w:vanish w:val="false"/>
      <w:color w:val="000000"/>
      <w:spacing w:val="0"/>
      <w:kern w:val="2"/>
      <w:position w:val="0"/>
      <w:sz w:val="20"/>
      <w:sz w:val="20"/>
      <w:szCs w:val="24"/>
      <w:u w:val="none"/>
      <w:vertAlign w:val="baseline"/>
      <w:em w:val="none"/>
    </w:rPr>
  </w:style>
  <w:style w:type="character" w:styleId="ListLabel6">
    <w:name w:val="ListLabel 6"/>
    <w:qFormat/>
    <w:rPr>
      <w:b w:val="false"/>
      <w:i w:val="false"/>
      <w:sz w:val="20"/>
    </w:rPr>
  </w:style>
  <w:style w:type="character" w:styleId="ListLabel7">
    <w:name w:val="ListLabel 7"/>
    <w:qFormat/>
    <w:rPr>
      <w:rFonts w:eastAsia="Arial Unicode MS" w:cs="Times New Roman"/>
      <w:b w:val="false"/>
      <w:bCs/>
      <w:i/>
      <w:iCs w:val="false"/>
      <w:caps/>
      <w:strike w:val="false"/>
      <w:dstrike w:val="false"/>
      <w:vanish w:val="false"/>
      <w:color w:val="000000"/>
      <w:spacing w:val="0"/>
      <w:kern w:val="2"/>
      <w:position w:val="0"/>
      <w:sz w:val="20"/>
      <w:sz w:val="20"/>
      <w:szCs w:val="24"/>
      <w:u w:val="none"/>
      <w:vertAlign w:val="baseline"/>
      <w:em w:val="none"/>
    </w:rPr>
  </w:style>
  <w:style w:type="character" w:styleId="ListLabel8">
    <w:name w:val="ListLabel 8"/>
    <w:qFormat/>
    <w:rPr>
      <w:b w:val="false"/>
      <w:i w:val="false"/>
      <w:sz w:val="20"/>
    </w:rPr>
  </w:style>
  <w:style w:type="paragraph" w:styleId="Heading" w:customStyle="1">
    <w:name w:val="Heading"/>
    <w:basedOn w:val="Normal"/>
    <w:next w:val="TextBody"/>
    <w:qFormat/>
    <w:pPr>
      <w:keepNext w:val="true"/>
      <w:spacing w:before="240" w:after="120"/>
    </w:pPr>
    <w:rPr>
      <w:rFonts w:ascii="Arial" w:hAnsi="Arial" w:eastAsia="Arial" w:cs="DejaVu Sans"/>
      <w:sz w:val="28"/>
      <w:szCs w:val="28"/>
    </w:rPr>
  </w:style>
  <w:style w:type="paragraph" w:styleId="TextBody">
    <w:name w:val="Body Text"/>
    <w:basedOn w:val="Normal"/>
    <w:pPr>
      <w:spacing w:before="0" w:after="12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next w:val="Normal"/>
    <w:qFormat/>
    <w:pPr>
      <w:spacing w:before="120" w:after="120"/>
    </w:pPr>
    <w:rPr>
      <w:b/>
      <w:bCs/>
      <w:sz w:val="20"/>
      <w:szCs w:val="20"/>
    </w:rPr>
  </w:style>
  <w:style w:type="paragraph" w:styleId="IEEEAuthorName" w:customStyle="1">
    <w:name w:val="IEEE Author Name"/>
    <w:basedOn w:val="Normal"/>
    <w:next w:val="Normal"/>
    <w:qFormat/>
    <w:pPr>
      <w:snapToGrid w:val="false"/>
      <w:spacing w:before="120" w:after="120"/>
      <w:jc w:val="center"/>
    </w:pPr>
    <w:rPr>
      <w:rFonts w:eastAsia="Times New Roman"/>
      <w:sz w:val="22"/>
      <w:lang w:val="en-GB"/>
    </w:rPr>
  </w:style>
  <w:style w:type="paragraph" w:styleId="IEEEAuthorAffiliation" w:customStyle="1">
    <w:name w:val="IEEE Author Affiliation"/>
    <w:basedOn w:val="Normal"/>
    <w:next w:val="Normal"/>
    <w:qFormat/>
    <w:pPr>
      <w:spacing w:before="0" w:after="60"/>
      <w:jc w:val="center"/>
    </w:pPr>
    <w:rPr>
      <w:rFonts w:eastAsia="Times New Roman"/>
      <w:i/>
      <w:sz w:val="20"/>
      <w:lang w:val="en-GB"/>
    </w:rPr>
  </w:style>
  <w:style w:type="paragraph" w:styleId="IEEEHeading2" w:customStyle="1">
    <w:name w:val="IEEE Heading 2"/>
    <w:basedOn w:val="Normal"/>
    <w:next w:val="IEEEParagraph"/>
    <w:qFormat/>
    <w:pPr>
      <w:snapToGrid w:val="false"/>
      <w:spacing w:before="150" w:after="60"/>
      <w:ind w:left="289" w:hanging="289"/>
    </w:pPr>
    <w:rPr>
      <w:i/>
      <w:sz w:val="20"/>
    </w:rPr>
  </w:style>
  <w:style w:type="paragraph" w:styleId="IEEEAuthorEmail" w:customStyle="1">
    <w:name w:val="IEEE Author Email"/>
    <w:next w:val="IEEEAuthorAffiliation"/>
    <w:qFormat/>
    <w:pPr>
      <w:widowControl/>
      <w:suppressAutoHyphens w:val="true"/>
      <w:bidi w:val="0"/>
      <w:spacing w:before="0" w:after="60"/>
      <w:jc w:val="center"/>
    </w:pPr>
    <w:rPr>
      <w:rFonts w:ascii="Courier" w:hAnsi="Courier" w:eastAsia="Times New Roman" w:cs="Times New Roman"/>
      <w:color w:val="auto"/>
      <w:kern w:val="0"/>
      <w:sz w:val="18"/>
      <w:szCs w:val="24"/>
      <w:lang w:val="en-GB" w:eastAsia="ar-SA" w:bidi="ar-SA"/>
    </w:rPr>
  </w:style>
  <w:style w:type="paragraph" w:styleId="IEEEAbtract" w:customStyle="1">
    <w:name w:val="IEEE Abtract"/>
    <w:basedOn w:val="Normal"/>
    <w:next w:val="Normal"/>
    <w:qFormat/>
    <w:pPr>
      <w:snapToGrid w:val="false"/>
      <w:jc w:val="both"/>
    </w:pPr>
    <w:rPr>
      <w:b/>
      <w:sz w:val="18"/>
      <w:lang w:val="en-GB"/>
    </w:rPr>
  </w:style>
  <w:style w:type="paragraph" w:styleId="IEEEAbstractHeading" w:customStyle="1">
    <w:name w:val="IEEE Abstract Heading"/>
    <w:basedOn w:val="IEEEAbtract"/>
    <w:next w:val="IEEEAbtract"/>
    <w:qFormat/>
    <w:pPr/>
    <w:rPr>
      <w:i/>
    </w:rPr>
  </w:style>
  <w:style w:type="paragraph" w:styleId="IEEEParagraph" w:customStyle="1">
    <w:name w:val="IEEE Paragraph"/>
    <w:basedOn w:val="Normal"/>
    <w:qFormat/>
    <w:pPr>
      <w:snapToGrid w:val="false"/>
      <w:ind w:firstLine="216"/>
      <w:jc w:val="both"/>
    </w:pPr>
    <w:rPr>
      <w:sz w:val="20"/>
    </w:rPr>
  </w:style>
  <w:style w:type="paragraph" w:styleId="IEEEHeading1" w:customStyle="1">
    <w:name w:val="IEEE Heading 1"/>
    <w:basedOn w:val="Normal"/>
    <w:next w:val="IEEEParagraph"/>
    <w:qFormat/>
    <w:pPr>
      <w:snapToGrid w:val="false"/>
      <w:spacing w:before="180" w:after="60"/>
      <w:ind w:left="289" w:hanging="289"/>
      <w:jc w:val="center"/>
    </w:pPr>
    <w:rPr>
      <w:smallCaps/>
      <w:sz w:val="20"/>
    </w:rPr>
  </w:style>
  <w:style w:type="paragraph" w:styleId="IEEETableCell" w:customStyle="1">
    <w:name w:val="IEEE Table Cell"/>
    <w:basedOn w:val="IEEEParagraph"/>
    <w:qFormat/>
    <w:pPr>
      <w:ind w:hanging="0"/>
      <w:jc w:val="left"/>
    </w:pPr>
    <w:rPr>
      <w:sz w:val="18"/>
    </w:rPr>
  </w:style>
  <w:style w:type="paragraph" w:styleId="IEEETitle" w:customStyle="1">
    <w:name w:val="IEEE Title"/>
    <w:basedOn w:val="Normal"/>
    <w:next w:val="IEEEAuthorName"/>
    <w:qFormat/>
    <w:pPr>
      <w:snapToGrid w:val="false"/>
      <w:jc w:val="center"/>
    </w:pPr>
    <w:rPr>
      <w:sz w:val="48"/>
    </w:rPr>
  </w:style>
  <w:style w:type="paragraph" w:styleId="IEEEHeading3" w:customStyle="1">
    <w:name w:val="IEEE Heading 3"/>
    <w:basedOn w:val="Normal"/>
    <w:next w:val="IEEEParagraph"/>
    <w:qFormat/>
    <w:pPr>
      <w:snapToGrid w:val="false"/>
      <w:spacing w:before="120" w:after="60"/>
      <w:ind w:firstLine="216"/>
      <w:jc w:val="both"/>
    </w:pPr>
    <w:rPr>
      <w:i/>
      <w:sz w:val="20"/>
    </w:rPr>
  </w:style>
  <w:style w:type="paragraph" w:styleId="IEEETableCaption" w:customStyle="1">
    <w:name w:val="IEEE Table Caption"/>
    <w:basedOn w:val="Normal"/>
    <w:next w:val="IEEEParagraph"/>
    <w:qFormat/>
    <w:pPr>
      <w:spacing w:before="120" w:after="120"/>
      <w:jc w:val="center"/>
    </w:pPr>
    <w:rPr>
      <w:smallCaps/>
      <w:sz w:val="16"/>
    </w:rPr>
  </w:style>
  <w:style w:type="paragraph" w:styleId="IEEEFigureCaptionSingleLine" w:customStyle="1">
    <w:name w:val="IEEE Figure Caption Single-Line"/>
    <w:basedOn w:val="IEEETableCaption"/>
    <w:next w:val="IEEEParagraph"/>
    <w:qFormat/>
    <w:pPr/>
    <w:rPr>
      <w:caps w:val="false"/>
      <w:smallCaps w:val="false"/>
    </w:rPr>
  </w:style>
  <w:style w:type="paragraph" w:styleId="IEEEFigure" w:customStyle="1">
    <w:name w:val="IEEE Figure"/>
    <w:basedOn w:val="Normal"/>
    <w:next w:val="IEEEFigureCaptionSingleLine"/>
    <w:qFormat/>
    <w:pPr>
      <w:jc w:val="center"/>
    </w:pPr>
    <w:rPr/>
  </w:style>
  <w:style w:type="paragraph" w:styleId="IEEEReferenceItem" w:customStyle="1">
    <w:name w:val="IEEE Reference Item"/>
    <w:basedOn w:val="Normal"/>
    <w:qFormat/>
    <w:pPr>
      <w:snapToGrid w:val="false"/>
      <w:jc w:val="both"/>
    </w:pPr>
    <w:rPr>
      <w:sz w:val="16"/>
      <w:lang w:val="en-US"/>
    </w:rPr>
  </w:style>
  <w:style w:type="paragraph" w:styleId="IEEEFigureCaptionMultiLines" w:customStyle="1">
    <w:name w:val="IEEE Figure Caption Multi-Lines"/>
    <w:basedOn w:val="IEEEFigureCaptionSingleLine"/>
    <w:next w:val="IEEEParagraph"/>
    <w:qFormat/>
    <w:pPr>
      <w:jc w:val="both"/>
    </w:pPr>
    <w:rPr/>
  </w:style>
  <w:style w:type="paragraph" w:styleId="IEEETableHeaderCentered" w:customStyle="1">
    <w:name w:val="IEEE Table Header Centered"/>
    <w:basedOn w:val="IEEETableCell"/>
    <w:qFormat/>
    <w:pPr>
      <w:jc w:val="center"/>
    </w:pPr>
    <w:rPr>
      <w:b/>
      <w:bCs/>
    </w:rPr>
  </w:style>
  <w:style w:type="paragraph" w:styleId="IEEETableHeaderLeftJustified" w:customStyle="1">
    <w:name w:val="IEEE Table Header Left-Justified"/>
    <w:basedOn w:val="IEEETableCell"/>
    <w:qFormat/>
    <w:pPr/>
    <w:rPr>
      <w:b/>
      <w:bCs/>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LibreOffice/6.1.5.2$Linux_X86_64 LibreOffice_project/10$Build-2</Application>
  <Pages>3</Pages>
  <Words>1896</Words>
  <Characters>9748</Characters>
  <CharactersWithSpaces>11535</CharactersWithSpaces>
  <Paragraphs>123</Paragraphs>
  <Company>Oxford University Physics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2014-12-15T14:31:00Z</dcterms:created>
  <dc:creator>Causal Productions</dc:creator>
  <dc:description/>
  <dc:language>en-US</dc:language>
  <cp:lastModifiedBy/>
  <cp:lastPrinted>2008-05-14T19:47:00Z</cp:lastPrinted>
  <dcterms:modified xsi:type="dcterms:W3CDTF">2019-04-17T23:07:31Z</dcterms:modified>
  <cp:revision>6</cp:revision>
  <dc:subject/>
  <dc:title>IEEE Paper Template in A4 (V1)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Oxford University Physics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