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sz w:val="28"/>
        </w:rPr>
        <w:t>UNIVERSITATEA [NUME UNIVERSITATE]</w:t>
        <w:br/>
        <w:t>FACULTATEA [NUME FACULTATE]</w:t>
        <w:br/>
        <w:br/>
      </w:r>
      <w:r>
        <w:rPr>
          <w:b/>
          <w:sz w:val="32"/>
        </w:rPr>
        <w:t>Dezvoltarea unei aplicații web inteligente pentru gestionarea medicamentelor compensate CNAS și asistarea prescrierii medicale</w:t>
        <w:br/>
        <w:br/>
      </w:r>
      <w:r>
        <w:rPr>
          <w:rFonts w:ascii="Times New Roman" w:hAnsi="Times New Roman"/>
          <w:sz w:val="24"/>
        </w:rPr>
        <w:t>Lucrare de licență</w:t>
        <w:br/>
        <w:br/>
        <w:t>Student: [NUME STUDENT]</w:t>
        <w:br/>
        <w:t>Coordonator științific: [NUME COORDONATOR]</w:t>
        <w:br/>
        <w:t>Specializare: [SPECIALIZARE]</w:t>
        <w:br/>
        <w:t>An universitar: 2025–2026</w:t>
        <w:br/>
        <w:br/>
        <w:t>București, 2026</w:t>
      </w:r>
    </w:p>
    <w:p>
      <w:r>
        <w:br w:type="page"/>
      </w:r>
    </w:p>
    <w:p>
      <w:pPr>
        <w:pStyle w:val="Heading1"/>
      </w:pPr>
      <w:r>
        <w:t>CUPRINS</w:t>
      </w:r>
    </w:p>
    <w:p>
      <w:r>
        <w:rPr>
          <w:rFonts w:ascii="Times New Roman" w:hAnsi="Times New Roman"/>
          <w:b w:val="0"/>
          <w:sz w:val="24"/>
        </w:rPr>
        <w:t>1. Introducere</w:t>
      </w:r>
    </w:p>
    <w:p>
      <w:r>
        <w:rPr>
          <w:rFonts w:ascii="Times New Roman" w:hAnsi="Times New Roman"/>
          <w:b w:val="0"/>
          <w:sz w:val="24"/>
        </w:rPr>
        <w:t>2. Analiza stadiului actual în domeniul problemei</w:t>
      </w:r>
    </w:p>
    <w:p>
      <w:r>
        <w:rPr>
          <w:rFonts w:ascii="Times New Roman" w:hAnsi="Times New Roman"/>
          <w:b w:val="0"/>
          <w:sz w:val="24"/>
        </w:rPr>
        <w:t>3. Bazele teoretice</w:t>
      </w:r>
    </w:p>
    <w:p>
      <w:r>
        <w:rPr>
          <w:rFonts w:ascii="Times New Roman" w:hAnsi="Times New Roman"/>
          <w:b w:val="0"/>
          <w:sz w:val="24"/>
        </w:rPr>
        <w:t>4. Soluția propusă și metodologia de proiectare/dezvoltare</w:t>
      </w:r>
    </w:p>
    <w:p>
      <w:r>
        <w:rPr>
          <w:rFonts w:ascii="Times New Roman" w:hAnsi="Times New Roman"/>
          <w:b w:val="0"/>
          <w:sz w:val="24"/>
        </w:rPr>
        <w:t>5. Implementarea</w:t>
      </w:r>
    </w:p>
    <w:p>
      <w:r>
        <w:rPr>
          <w:rFonts w:ascii="Times New Roman" w:hAnsi="Times New Roman"/>
          <w:b w:val="0"/>
          <w:sz w:val="24"/>
        </w:rPr>
        <w:t>6. Testarea aplicației</w:t>
      </w:r>
    </w:p>
    <w:p>
      <w:r>
        <w:rPr>
          <w:rFonts w:ascii="Times New Roman" w:hAnsi="Times New Roman"/>
          <w:b w:val="0"/>
          <w:sz w:val="24"/>
        </w:rPr>
        <w:t>7. Concluzii</w:t>
      </w:r>
    </w:p>
    <w:p>
      <w:r>
        <w:rPr>
          <w:rFonts w:ascii="Times New Roman" w:hAnsi="Times New Roman"/>
          <w:b w:val="0"/>
          <w:sz w:val="24"/>
        </w:rPr>
        <w:t>8. Bibliografie</w:t>
      </w:r>
    </w:p>
    <w:p>
      <w:r>
        <w:rPr>
          <w:rFonts w:ascii="Times New Roman" w:hAnsi="Times New Roman"/>
          <w:b w:val="0"/>
          <w:sz w:val="24"/>
        </w:rPr>
        <w:t>Anexe – Lista figurilor și tabelelor</w:t>
      </w:r>
    </w:p>
    <w:p>
      <w:r>
        <w:rPr>
          <w:rFonts w:ascii="Times New Roman" w:hAnsi="Times New Roman"/>
          <w:b w:val="0"/>
          <w:sz w:val="24"/>
        </w:rPr>
        <w:t>Declarație de autenticitate</w:t>
      </w:r>
    </w:p>
    <w:p>
      <w:r>
        <w:br w:type="page"/>
      </w:r>
    </w:p>
    <w:p>
      <w:pPr>
        <w:pStyle w:val="Heading1"/>
      </w:pPr>
      <w:r>
        <w:t>1. Introducere</w:t>
      </w:r>
    </w:p>
    <w:p>
      <w:r>
        <w:rPr>
          <w:rFonts w:ascii="Times New Roman" w:hAnsi="Times New Roman"/>
          <w:b w:val="0"/>
          <w:sz w:val="24"/>
        </w:rPr>
        <w:t>Prezenta lucrare de licență abordează dezvoltarea unei aplicații web inteligente denumită MedAI, destinată gestionării medicamentelor compensate de Casa Națională de Asigurări de Sănătate (CNAS) din România și asistării procesului de prescriere medicală. Aplicația se încadrează în domeniul informaticii medicale și al sănătății digitale (e-health), având ca scop facilitarea accesului profesioniștilor din domeniul medical la informații actualizate despre medicamentele compensate și oferirea de instrumente moderne de suport decizional. [7]</w:t>
      </w:r>
    </w:p>
    <w:p>
      <w:r>
        <w:rPr>
          <w:rFonts w:ascii="Times New Roman" w:hAnsi="Times New Roman"/>
          <w:b w:val="0"/>
          <w:sz w:val="24"/>
        </w:rPr>
        <w:t>Motivația realizării acestei aplicații provine din necesitatea tot mai stringentă de digitalizare a serviciilor medicale din România. Lista medicamentelor compensate CNAS conține peste 6.400 de produse farmaceutice, iar navigarea manuală prin aceste date reprezintă un proces laborios și predispus la erori. Integrarea tehnologiilor web moderne cu inteligența artificială poate reduce semnificativ timpul necesar identificării medicamentelor potrivite și poate îmbunătăți calitatea actului medical. [14]</w:t>
      </w:r>
    </w:p>
    <w:p>
      <w:pPr>
        <w:pStyle w:val="Heading2"/>
      </w:pPr>
      <w:r>
        <w:t>1.1 Obiectivele lucrării</w:t>
      </w:r>
    </w:p>
    <w:p>
      <w:r>
        <w:rPr>
          <w:rFonts w:ascii="Times New Roman" w:hAnsi="Times New Roman"/>
          <w:b w:val="0"/>
          <w:sz w:val="24"/>
        </w:rPr>
        <w:t>Obiectivul 1: Proiectarea și implementarea unei aplicații web full-stack utilizând React, Node.js (Express) și Azure SQL, cu arhitectură scalabilă deployată în cloud Microsoft Azure.</w:t>
      </w:r>
    </w:p>
    <w:p>
      <w:r>
        <w:rPr>
          <w:rFonts w:ascii="Times New Roman" w:hAnsi="Times New Roman"/>
          <w:b w:val="0"/>
          <w:sz w:val="24"/>
        </w:rPr>
        <w:t>Obiectivul 2: Integrarea listei oficiale CNAS (6.479 medicamente) cu mapare automată ATC–coduri de boală (ICD), atingând o acoperire de 99,98% a medicamentelor.</w:t>
      </w:r>
    </w:p>
    <w:p>
      <w:r>
        <w:rPr>
          <w:rFonts w:ascii="Times New Roman" w:hAnsi="Times New Roman"/>
          <w:b w:val="0"/>
          <w:sz w:val="24"/>
        </w:rPr>
        <w:t>Obiectivul 3: Autodidact: învățarea și aplicarea practică a tehnologiilor cloud Azure (Static Web Apps, App Service, Azure SQL) și a integrării API-urilor externe (OpenAI).</w:t>
      </w:r>
    </w:p>
    <w:p>
      <w:r>
        <w:rPr>
          <w:rFonts w:ascii="Times New Roman" w:hAnsi="Times New Roman"/>
          <w:b w:val="0"/>
          <w:sz w:val="24"/>
        </w:rPr>
        <w:t>Obiectivul 4: Dezvoltarea unui asistent AI bazat pe GPT-3.5-turbo pentru recomandări de medicamente pe baza simptomelor descrise de utilizator.</w:t>
      </w:r>
    </w:p>
    <w:p>
      <w:r>
        <w:rPr>
          <w:rFonts w:ascii="Times New Roman" w:hAnsi="Times New Roman"/>
          <w:b w:val="0"/>
          <w:sz w:val="24"/>
        </w:rPr>
        <w:t>Obiectivul 5: Implementarea unui flux complet de rețetă digitală: selecție medicamente, plan de tratament, sfaturi AI, salvare în baza de date și export PDF.</w:t>
      </w:r>
    </w:p>
    <w:p>
      <w:pPr>
        <w:pStyle w:val="Heading2"/>
      </w:pPr>
      <w:r>
        <w:t>1.2 Structura lucrării</w:t>
      </w:r>
    </w:p>
    <w:p>
      <w:r>
        <w:rPr>
          <w:rFonts w:ascii="Times New Roman" w:hAnsi="Times New Roman"/>
          <w:b w:val="0"/>
          <w:sz w:val="24"/>
        </w:rPr>
        <w:t>Capitolul 2 prezintă analiza stadiului actual prin studierea a patru aplicații similare și un tabel comparativ cu aplicația propusă. Capitolul 3 descrie bazele teoretice ale tehnologiilor utilizate. Capitolul 4 detaliază arhitectura sistemului, cazurile de utilizare și schema bazei de date. Capitolul 5 prezintă implementarea funcționalităților cu fragmente de cod și capturi de ecran. Capitolul 6 documentează testarea automată cu Playwright. Capitolul 7 sintetizează concluziile, iar Capitolul 8 conține bibliografia.</w:t>
      </w:r>
    </w:p>
    <w:p>
      <w:r>
        <w:rPr>
          <w:rFonts w:ascii="Times New Roman" w:hAnsi="Times New Roman"/>
          <w:b w:val="0"/>
          <w:sz w:val="24"/>
        </w:rPr>
        <w:t>Contribuția principală a acestei lucrări constă în demonstrarea fezabilității unei platforme web care unifică datele oficiale CNAS cu tehnologii moderne de inteligență artificială și instrumente digitale de prescripție, adaptate contextului medical românesc. Aplicația rezultată este funcțională, deployată în cloud și testată automat, constituind o bază solidă pentru dezvoltări viitoare în domeniul e-health din România.</w:t>
      </w:r>
    </w:p>
    <w:p>
      <w:r>
        <w:br w:type="page"/>
      </w:r>
    </w:p>
    <w:p>
      <w:pPr>
        <w:pStyle w:val="Heading1"/>
      </w:pPr>
      <w:r>
        <w:t>2. Analiza stadiului actual în domeniul problemei</w:t>
      </w:r>
    </w:p>
    <w:p>
      <w:r>
        <w:rPr>
          <w:rFonts w:ascii="Times New Roman" w:hAnsi="Times New Roman"/>
          <w:b w:val="0"/>
          <w:sz w:val="24"/>
        </w:rPr>
        <w:t>Pentru a poziționa corect aplicația MedAI în peisajul existent, au fost analizate patru soluții relevante din domeniul referințelor medicale și al listelor naționale de medicamente. Analiza se concentrează pe funcționalitățile oferite, tehnologiile utilizate și gradul de adaptare la contextul românesc al sistemului CNAS. [14]</w:t>
      </w:r>
    </w:p>
    <w:p>
      <w:pPr>
        <w:pStyle w:val="Heading2"/>
      </w:pPr>
      <w:r>
        <w:t>2.1 Medscape</w:t>
      </w:r>
    </w:p>
    <w:p>
      <w:r>
        <w:rPr>
          <w:rFonts w:ascii="Times New Roman" w:hAnsi="Times New Roman"/>
          <w:b w:val="0"/>
          <w:sz w:val="24"/>
        </w:rPr>
        <w:t>Medscape este una dintre cele mai utilizate platforme de referință medicală la nivel global, oferind informații despre medicamente, interacțiuni, ghiduri clinice și articole medicale. Platforma utilizează o arhitectură web modernă cu aplicații mobile native (iOS/Android) și un backend robust. Funcționalitățile principale includ: căutare medicamente după nume sau clasă terapeutică, verificarea interacțiunilor medicamentoase, calculatoare medicale (dozare pediatrică, clearance creatinină) și fluxuri de știri medicale actualizate continuu. [8]</w:t>
      </w:r>
    </w:p>
    <w:p>
      <w:r>
        <w:rPr>
          <w:rFonts w:ascii="Times New Roman" w:hAnsi="Times New Roman"/>
          <w:b w:val="0"/>
          <w:sz w:val="24"/>
        </w:rPr>
        <w:t>Medscape nu oferă însă integrarea cu lista CNAS din România, nu include maparea medicamentelor la coduri de boală specifice sistemului românesc și nu dispune de funcționalități de rețetă digitală adaptate legislației locale. Accesul la anumite funcționalități necesită cont profesional verificat.</w:t>
      </w:r>
    </w:p>
    <w:p>
      <w:r>
        <w:rPr>
          <w:rFonts w:ascii="Times New Roman" w:hAnsi="Times New Roman"/>
          <w:b w:val="0"/>
          <w:sz w:val="24"/>
        </w:rPr>
        <w:t>Din perspectiva tehnologică, Medscape utilizează o arhitectură de tip Single Page Application cu rendering pe server pentru SEO, API-uri REST pentru date medicale și caching agresiv pentru performanță. Datele medicamentoase provin din bazele FDA și EMA, neadaptate la nomenclatorul românesc. Interfața este disponibilă în limba engleză, fără suport nativ pentru limba română sau pentru codurile de boală utilizate în sistemul de sănătate românesc (coduri ICD naționale).</w:t>
      </w:r>
    </w:p>
    <w:p>
      <w:r>
        <w:rPr>
          <w:rFonts w:ascii="Times New Roman" w:hAnsi="Times New Roman"/>
          <w:b w:val="0"/>
          <w:sz w:val="24"/>
        </w:rPr>
        <w:t>Funcționalitățile de calcul medical (dozare, clearance) sunt utile clinic, dar nu înlocuiesc nevoia unui instrument dedicat listei CNAS. Lipsa exportului de rețete în format compatibil cu sistemele românești și absența unui modul de aprobare a utilizatorilor medicali reprezintă limitări semnificative pentru adoptarea Medscape în mediul medical românesc.</w:t>
      </w:r>
    </w:p>
    <w:p>
      <w:r>
        <w:rPr>
          <w:rFonts w:ascii="Times New Roman" w:hAnsi="Times New Roman"/>
          <w:b w:val="0"/>
          <w:sz w:val="24"/>
        </w:rPr>
        <w:t>Platforma Medscape a fost lansată inițial ca un portal de știri medicale și a evoluat treptat spre o suită completă de instrumente clinice. Medscape Reference include monografii detaliate pentru peste 7.000 de medicamente, cu informații despre farmacologie, farmacocinetică, contraindicații și reacții adverse. Medscape Consult oferă articole de continuare a educației medicale (CME) acreditate.</w:t>
      </w:r>
    </w:p>
    <w:p>
      <w:r>
        <w:rPr>
          <w:rFonts w:ascii="Times New Roman" w:hAnsi="Times New Roman"/>
          <w:b w:val="0"/>
          <w:sz w:val="24"/>
        </w:rPr>
        <w:t>Arhitectura tehnică a Medscape se bazează pe microservicii cloud, cu CDN global pentru livrarea conținutului static și API-uri GraphQL pentru interogări complexe. Aplicațiile mobile sincronizează datele offline pentru acces fără conexiune, funcționalitate utilă în spitale cu conectivitate instabilă.</w:t>
      </w:r>
    </w:p>
    <w:p>
      <w:r>
        <w:rPr>
          <w:rFonts w:ascii="Times New Roman" w:hAnsi="Times New Roman"/>
          <w:b w:val="0"/>
          <w:sz w:val="24"/>
        </w:rPr>
        <w:t>Din perspectiva utilizatorului român, Medscape prezintă limitări majore: denumirile comerciale sunt predominant americane, prețurile nu reflectă sistemul de compensare CNAS, iar codurile de diagnostic utilizate urmează clasificarea ICD-10-CM americană, nu cea adaptată pentru România.</w:t>
      </w:r>
    </w:p>
    <w:p>
      <w:r>
        <w:rPr>
          <w:rFonts w:ascii="Times New Roman" w:hAnsi="Times New Roman"/>
          <w:b w:val="0"/>
          <w:sz w:val="24"/>
        </w:rPr>
        <w:t>Analiza comparativă relevă că Medscape excelează în educație medicală continuă și verificarea interacțiunilor la nivel internațional, dar nu poate înlocui un instrument dedicat listei naționale de medicamente compensate.</w:t>
      </w:r>
    </w:p>
    <w:p>
      <w:pPr>
        <w:pStyle w:val="Heading2"/>
      </w:pPr>
      <w:r>
        <w:t>2.2 Epocrates</w:t>
      </w:r>
    </w:p>
    <w:p>
      <w:r>
        <w:rPr>
          <w:rFonts w:ascii="Times New Roman" w:hAnsi="Times New Roman"/>
          <w:b w:val="0"/>
          <w:sz w:val="24"/>
        </w:rPr>
        <w:t>Epocrates este o aplicație de referință clinică dezvoltată inițial pentru dispozitive mobile, ulterior extinsă pe web. Este orientată spre prescripție și verificare în timp real a interacțiunilor medicamentoase, identificarea pastilelor după formă și culoare (Pill ID) și calculatoare de dozare. Tehnologiile includ aplicații native, API-uri REST și sincronizare cloud. [9]</w:t>
      </w:r>
    </w:p>
    <w:p>
      <w:r>
        <w:rPr>
          <w:rFonts w:ascii="Times New Roman" w:hAnsi="Times New Roman"/>
          <w:b w:val="0"/>
          <w:sz w:val="24"/>
        </w:rPr>
        <w:t>Epocrates excelează în verificarea interacțiunilor, dar baza de date este orientată spre piața americană (FDA). Nu conține lista CNAS, nu oferă filtrare după categorii de compensare (A, B, C1, C2, C3, D) și nu integrează asistență AI pentru recomandări bazate pe simptome în context românesc.</w:t>
      </w:r>
    </w:p>
    <w:p>
      <w:r>
        <w:rPr>
          <w:rFonts w:ascii="Times New Roman" w:hAnsi="Times New Roman"/>
          <w:b w:val="0"/>
          <w:sz w:val="24"/>
        </w:rPr>
        <w:t>Modelul de business al Epocrates se bazează pe abonamente premium pentru profesioniști. Versiunea gratuită oferă funcționalități limitate. Aplicația mobilă este optimizată pentru consult rapid la patul pacientului, dar nu suportă gestionarea unui coș de rețetă cu plan de tratament detaliat sau salvarea istoricului rețetelor per pacient în cloud.</w:t>
      </w:r>
    </w:p>
    <w:p>
      <w:r>
        <w:rPr>
          <w:rFonts w:ascii="Times New Roman" w:hAnsi="Times New Roman"/>
          <w:b w:val="0"/>
          <w:sz w:val="24"/>
        </w:rPr>
        <w:t>Tehnologic, Epocrates folosește sincronizare offline pe dispozitive mobile, ceea ce îl face util în medii cu conectivitate limitată. Totuși, datele offline nu includ medicamentele compensate CNAS și nici maparea la codurile de boală din nomenclatorul românesc. Integrarea cu sisteme locale precum SIUI (Sistemul Informatic Unic Integrat) nu este disponibilă.</w:t>
      </w:r>
    </w:p>
    <w:p>
      <w:r>
        <w:rPr>
          <w:rFonts w:ascii="Times New Roman" w:hAnsi="Times New Roman"/>
          <w:b w:val="0"/>
          <w:sz w:val="24"/>
        </w:rPr>
        <w:t>Epocrates a fost achizițat de athenahealth și integrat într-un ecosistem mai larg de soluții pentru practica medicală. Versiunea premium include verificarea interacțiunilor pentru până la 30 de medicamente simultan, alternative terapeutice și ghiduri de dozare pe greutate și vârstă.</w:t>
      </w:r>
    </w:p>
    <w:p>
      <w:r>
        <w:rPr>
          <w:rFonts w:ascii="Times New Roman" w:hAnsi="Times New Roman"/>
          <w:b w:val="0"/>
          <w:sz w:val="24"/>
        </w:rPr>
        <w:t>Interfața Epocrates este optimizată pentru smartphone-uri, cu design minimalist care permite acces rapid la informații la patul pacientului. Funcția Pill ID utilizează recunoaștere vizuală pentru identificarea comprimatelor după formă, culoare și marcaje.</w:t>
      </w:r>
    </w:p>
    <w:p>
      <w:r>
        <w:rPr>
          <w:rFonts w:ascii="Times New Roman" w:hAnsi="Times New Roman"/>
          <w:b w:val="0"/>
          <w:sz w:val="24"/>
        </w:rPr>
        <w:t>Pentru piața românească, Epocrates nu oferă date despre contribuțiile pacientului la medicamente compensate, nu include codurile de medicament din nomenclatorul CNAS și nu suportă exportul de rețete în formatul cerut de legislația română.</w:t>
      </w:r>
    </w:p>
    <w:p>
      <w:r>
        <w:rPr>
          <w:rFonts w:ascii="Times New Roman" w:hAnsi="Times New Roman"/>
          <w:b w:val="0"/>
          <w:sz w:val="24"/>
        </w:rPr>
        <w:t>Evaluarea tehnică arată că Epocrates utilizează o bază de date proprietară actualizată săptămânal, cu surse din FDA DailyMed și Clinical Pharmacology. Această frecvență de actualizare este comparabilă cu cea a listei CNAS, dar conținutul este fundamental diferit ca structură.</w:t>
      </w:r>
    </w:p>
    <w:p>
      <w:pPr>
        <w:pStyle w:val="Heading2"/>
      </w:pPr>
      <w:r>
        <w:t>2.3 Drugs.com</w:t>
      </w:r>
    </w:p>
    <w:p>
      <w:r>
        <w:rPr>
          <w:rFonts w:ascii="Times New Roman" w:hAnsi="Times New Roman"/>
          <w:b w:val="0"/>
          <w:sz w:val="24"/>
        </w:rPr>
        <w:t>Drugs.com este un portal web popular destinat publicului larg și profesioniștilor, oferind o bază de date extinsă de medicamente, verificator de interacțiuni, identificator de pastile și articole despre afecțiuni. Site-ul utilizează tehnologii web standard (HTML5, JavaScript) cu backend PHP și baze de date relaționale. Include funcționalități de căutare avansată și comparare medicamente. [10]</w:t>
      </w:r>
    </w:p>
    <w:p>
      <w:r>
        <w:rPr>
          <w:rFonts w:ascii="Times New Roman" w:hAnsi="Times New Roman"/>
          <w:b w:val="0"/>
          <w:sz w:val="24"/>
        </w:rPr>
        <w:t>Drugs.com nu este adaptat sistemului medical românesc, nu oferă coduri ATC mapate la boli din lista națională și nu dispune de module de rețetă digitală sau autentificare cu workflow de aprobare administrativă specific instituțiilor medicale.</w:t>
      </w:r>
    </w:p>
    <w:p>
      <w:r>
        <w:rPr>
          <w:rFonts w:ascii="Times New Roman" w:hAnsi="Times New Roman"/>
          <w:b w:val="0"/>
          <w:sz w:val="24"/>
        </w:rPr>
        <w:t>Portalul oferă un verificator de simptome bazat pe reguli, nu pe inteligență artificială generativă. Rezultatele sunt generice și nu fac legătura cu medicamentele compensate din România. Interfața este orientată spre pacienți, nu spre medici, lipsind funcționalitățile de administrare a conturilor și de audit al prescripțiilor necesare într-un mediu clinic profesional.</w:t>
      </w:r>
    </w:p>
    <w:p>
      <w:r>
        <w:rPr>
          <w:rFonts w:ascii="Times New Roman" w:hAnsi="Times New Roman"/>
          <w:b w:val="0"/>
          <w:sz w:val="24"/>
        </w:rPr>
        <w:t>Din punct de vedere al volumului de date, Drugs.com acoperă medicamente din multiple piețe, dar fără distincția listelor de compensare specifice României. Prețurile afișate nu reflectă contribuțiile pacientului conform legislației CNAS (100%, 90%, 50%, 20%, pensionari 90%).</w:t>
      </w:r>
    </w:p>
    <w:p>
      <w:r>
        <w:rPr>
          <w:rFonts w:ascii="Times New Roman" w:hAnsi="Times New Roman"/>
          <w:b w:val="0"/>
          <w:sz w:val="24"/>
        </w:rPr>
        <w:t>Drugs.com agregă date din mai multe surse: FDA, Micromedex, Cerner Multum și surse proprii. Site-ul primește peste 20 de milioane de vizite lunare, fiind unul dintre cele mai populare portaluri medicale pentru publicul general.</w:t>
      </w:r>
    </w:p>
    <w:p>
      <w:r>
        <w:rPr>
          <w:rFonts w:ascii="Times New Roman" w:hAnsi="Times New Roman"/>
          <w:b w:val="0"/>
          <w:sz w:val="24"/>
        </w:rPr>
        <w:t>Funcționalitatea Interaction Checker permite verificarea interacțiunilor între medicamente și suplimente alimentare. Symptom Checker ghidează utilizatorul printr-un arbore de decizie pentru autoevaluare, deși acesta nu înlocuiește consultul medical.</w:t>
      </w:r>
    </w:p>
    <w:p>
      <w:r>
        <w:rPr>
          <w:rFonts w:ascii="Times New Roman" w:hAnsi="Times New Roman"/>
          <w:b w:val="0"/>
          <w:sz w:val="24"/>
        </w:rPr>
        <w:t>Limitările pentru utilizare profesională în România includ: absența codurilor ATC din nomenclatorul național, lipsa informațiilor despre detinatorul autorizației de punere pe piață din lista CNAS și inexistența unui modul de gestionare a rețetelor digitale.</w:t>
      </w:r>
    </w:p>
    <w:p>
      <w:r>
        <w:rPr>
          <w:rFonts w:ascii="Times New Roman" w:hAnsi="Times New Roman"/>
          <w:b w:val="0"/>
          <w:sz w:val="24"/>
        </w:rPr>
        <w:t>Tehnologic, Drugs.com folosește un stack LAMP clasic cu caching Redis și load balancing. Performanța este excelentă, dar arhitectura monolitică contrastează cu abordarea modernă SPA adoptată de MedAI.</w:t>
      </w:r>
    </w:p>
    <w:p>
      <w:pPr>
        <w:pStyle w:val="Heading2"/>
      </w:pPr>
      <w:r>
        <w:t>2.4 Lista CNAS (platforma oficială)</w:t>
      </w:r>
    </w:p>
    <w:p>
      <w:r>
        <w:rPr>
          <w:rFonts w:ascii="Times New Roman" w:hAnsi="Times New Roman"/>
          <w:b w:val="0"/>
          <w:sz w:val="24"/>
        </w:rPr>
        <w:t>Casa Națională de Asigurări de Sănătate publică lista medicamentelor compensate sub formă de documente și platforme web oficiale. Aceasta reprezintă sursa de adevăr pentru datele medicamentelor din România, incluzând coduri de medicament, prețuri maxime, contribuții ale pacientului și liste de compensare. [7]</w:t>
      </w:r>
    </w:p>
    <w:p>
      <w:r>
        <w:rPr>
          <w:rFonts w:ascii="Times New Roman" w:hAnsi="Times New Roman"/>
          <w:b w:val="0"/>
          <w:sz w:val="24"/>
        </w:rPr>
        <w:t>Platforma oficială CNAS oferă date autoritative, dar nu include funcționalități avansate de căutare multi-criteriu, mapare automată medicament–boală, asistent AI, rețete digitale cu plan de tratament, speech-to-text sau export PDF personalizat. Interfața este orientată spre consultare, nu spre workflow-ul complet al prescrierii.</w:t>
      </w:r>
    </w:p>
    <w:p>
      <w:r>
        <w:rPr>
          <w:rFonts w:ascii="Times New Roman" w:hAnsi="Times New Roman"/>
          <w:b w:val="0"/>
          <w:sz w:val="24"/>
        </w:rPr>
        <w:t>Lista CNAS este publicată periodic în format PDF și Excel, necesitând procesare manuală pentru integrare în alte sisteme. MedAI a preluat aceste date, le-a îmbogățit cu maparea ATC–boli (realizată prin script Python map_atc_to_diseases_COMPLETE.py) și le-a structurat într-o bază de date relațională query-abila. Această procesare adaugă o valoare semnificativă față de simpla consultare a listei oficiale.</w:t>
      </w:r>
    </w:p>
    <w:p>
      <w:r>
        <w:rPr>
          <w:rFonts w:ascii="Times New Roman" w:hAnsi="Times New Roman"/>
          <w:b w:val="0"/>
          <w:sz w:val="24"/>
        </w:rPr>
        <w:t>Certificarea medicală internă a proiectului MedAI confirmă 99,98% acoperire (6.478 din 6.479 medicamente) și 100% acoperire pe toate cele 14 categorii ATC. Singurul articol nemapat este un dispozitiv medical (teste automonitorizare glicemie), nu un medicament propriu-zis.</w:t>
      </w:r>
    </w:p>
    <w:p>
      <w:r>
        <w:rPr>
          <w:rFonts w:ascii="Times New Roman" w:hAnsi="Times New Roman"/>
          <w:b w:val="0"/>
          <w:sz w:val="24"/>
        </w:rPr>
        <w:t>Lista medicamentelor compensate CNAS este publicată prin Ordin al președintelui CNAS și actualizată trimestrial sau la necesitate. Formatul oficial include 17 coloane standardizate: denumire medicament, substanță activă, cod medicament, formă farmaceutică, cod ATC, mod prescriere, concentrație, prețuri maxime și contribuții.</w:t>
      </w:r>
    </w:p>
    <w:p>
      <w:r>
        <w:rPr>
          <w:rFonts w:ascii="Times New Roman" w:hAnsi="Times New Roman"/>
          <w:b w:val="0"/>
          <w:sz w:val="24"/>
        </w:rPr>
        <w:t>Platformele web oficiale CNAS oferă acces la listă în format PDF și uneori Excel, dar interfața de căutare este limitată la câmpuri simple, fără filtrare combinată pe multiple criterii simultane.</w:t>
      </w:r>
    </w:p>
    <w:p>
      <w:r>
        <w:rPr>
          <w:rFonts w:ascii="Times New Roman" w:hAnsi="Times New Roman"/>
          <w:b w:val="0"/>
          <w:sz w:val="24"/>
        </w:rPr>
        <w:t>MedAI a preluat aceste date oficiale și le-a procesat automat: scriptul Python map_atc_to_diseases_COMPLETE.py a adăugat coloana Coduri_Boli prin maparea codurilor ATC la 992 coduri de boală din coduri_boala.csv. Rezultatul, medicamente_cu_boli_COMPLET.csv, constituie baza de date a aplicației.</w:t>
      </w:r>
    </w:p>
    <w:p>
      <w:r>
        <w:rPr>
          <w:rFonts w:ascii="Times New Roman" w:hAnsi="Times New Roman"/>
          <w:b w:val="0"/>
          <w:sz w:val="24"/>
        </w:rPr>
        <w:t>Certificarea medicală internă confirmă validitatea mapărilor pentru toate categoriile ATC (A-V), cu verificări manuale pentru medicamente reprezentative: omeprazol (A02BC01), metformin (A10BA02), amoxicilină (J01CA04) și altele.</w:t>
      </w:r>
    </w:p>
    <w:p>
      <w:pPr>
        <w:pStyle w:val="Heading2"/>
      </w:pPr>
      <w:r>
        <w:t>2.5 Tabel comparativ</w:t>
      </w:r>
    </w:p>
    <w:p>
      <w:r>
        <w:rPr>
          <w:rFonts w:ascii="Times New Roman" w:hAnsi="Times New Roman"/>
          <w:b/>
          <w:sz w:val="22"/>
        </w:rPr>
        <w:t>Tabelul 1 – Comparație funcționalități între aplicațiile studiate și MedAI</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b/>
                <w:sz w:val="20"/>
              </w:rPr>
              <w:t>Caracteristică</w:t>
            </w:r>
          </w:p>
        </w:tc>
        <w:tc>
          <w:tcPr>
            <w:tcW w:type="dxa" w:w="1440"/>
          </w:tcPr>
          <w:p>
            <w:r>
              <w:rPr>
                <w:rFonts w:ascii="Times New Roman" w:hAnsi="Times New Roman"/>
                <w:b/>
                <w:sz w:val="20"/>
              </w:rPr>
              <w:t>Medscape</w:t>
            </w:r>
          </w:p>
        </w:tc>
        <w:tc>
          <w:tcPr>
            <w:tcW w:type="dxa" w:w="1440"/>
          </w:tcPr>
          <w:p>
            <w:r>
              <w:rPr>
                <w:rFonts w:ascii="Times New Roman" w:hAnsi="Times New Roman"/>
                <w:b/>
                <w:sz w:val="20"/>
              </w:rPr>
              <w:t>Epocrates</w:t>
            </w:r>
          </w:p>
        </w:tc>
        <w:tc>
          <w:tcPr>
            <w:tcW w:type="dxa" w:w="1440"/>
          </w:tcPr>
          <w:p>
            <w:r>
              <w:rPr>
                <w:rFonts w:ascii="Times New Roman" w:hAnsi="Times New Roman"/>
                <w:b/>
                <w:sz w:val="20"/>
              </w:rPr>
              <w:t>Drugs.com</w:t>
            </w:r>
          </w:p>
        </w:tc>
        <w:tc>
          <w:tcPr>
            <w:tcW w:type="dxa" w:w="1440"/>
          </w:tcPr>
          <w:p>
            <w:r>
              <w:rPr>
                <w:rFonts w:ascii="Times New Roman" w:hAnsi="Times New Roman"/>
                <w:b/>
                <w:sz w:val="20"/>
              </w:rPr>
              <w:t>Lista CNAS</w:t>
            </w:r>
          </w:p>
        </w:tc>
        <w:tc>
          <w:tcPr>
            <w:tcW w:type="dxa" w:w="1440"/>
          </w:tcPr>
          <w:p>
            <w:r>
              <w:rPr>
                <w:rFonts w:ascii="Times New Roman" w:hAnsi="Times New Roman"/>
                <w:b/>
                <w:sz w:val="20"/>
              </w:rPr>
              <w:t>MedAI (aplicația propusă)</w:t>
            </w:r>
          </w:p>
        </w:tc>
      </w:tr>
      <w:tr>
        <w:tc>
          <w:tcPr>
            <w:tcW w:type="dxa" w:w="1440"/>
          </w:tcPr>
          <w:p>
            <w:r>
              <w:rPr>
                <w:rFonts w:ascii="Times New Roman" w:hAnsi="Times New Roman"/>
                <w:sz w:val="20"/>
              </w:rPr>
              <w:t>Bază de date medicamente națională (CNAS)</w:t>
            </w:r>
          </w:p>
        </w:tc>
        <w:tc>
          <w:tcPr>
            <w:tcW w:type="dxa" w:w="1440"/>
          </w:tcPr>
          <w:p>
            <w:r>
              <w:rPr>
                <w:rFonts w:ascii="Times New Roman" w:hAnsi="Times New Roman"/>
                <w:sz w:val="20"/>
              </w:rPr>
              <w:t>Nu</w:t>
            </w:r>
          </w:p>
        </w:tc>
        <w:tc>
          <w:tcPr>
            <w:tcW w:type="dxa" w:w="1440"/>
          </w:tcPr>
          <w:p>
            <w:r>
              <w:rPr>
                <w:rFonts w:ascii="Times New Roman" w:hAnsi="Times New Roman"/>
                <w:sz w:val="20"/>
              </w:rPr>
              <w:t>Nu</w:t>
            </w:r>
          </w:p>
        </w:tc>
        <w:tc>
          <w:tcPr>
            <w:tcW w:type="dxa" w:w="1440"/>
          </w:tcPr>
          <w:p>
            <w:r>
              <w:rPr>
                <w:rFonts w:ascii="Times New Roman" w:hAnsi="Times New Roman"/>
                <w:sz w:val="20"/>
              </w:rPr>
              <w:t>Nu</w:t>
            </w:r>
          </w:p>
        </w:tc>
        <w:tc>
          <w:tcPr>
            <w:tcW w:type="dxa" w:w="1440"/>
          </w:tcPr>
          <w:p>
            <w:r>
              <w:rPr>
                <w:rFonts w:ascii="Times New Roman" w:hAnsi="Times New Roman"/>
                <w:sz w:val="20"/>
              </w:rPr>
              <w:t>Da</w:t>
            </w:r>
          </w:p>
        </w:tc>
        <w:tc>
          <w:tcPr>
            <w:tcW w:type="dxa" w:w="1440"/>
          </w:tcPr>
          <w:p>
            <w:r>
              <w:rPr>
                <w:rFonts w:ascii="Times New Roman" w:hAnsi="Times New Roman"/>
                <w:sz w:val="20"/>
              </w:rPr>
              <w:t>Da</w:t>
            </w:r>
          </w:p>
        </w:tc>
      </w:tr>
      <w:tr>
        <w:tc>
          <w:tcPr>
            <w:tcW w:type="dxa" w:w="1440"/>
          </w:tcPr>
          <w:p>
            <w:r>
              <w:rPr>
                <w:rFonts w:ascii="Times New Roman" w:hAnsi="Times New Roman"/>
                <w:sz w:val="20"/>
              </w:rPr>
              <w:t>Mapare medicament–boală (coduri ICD)</w:t>
            </w:r>
          </w:p>
        </w:tc>
        <w:tc>
          <w:tcPr>
            <w:tcW w:type="dxa" w:w="1440"/>
          </w:tcPr>
          <w:p>
            <w:r>
              <w:rPr>
                <w:rFonts w:ascii="Times New Roman" w:hAnsi="Times New Roman"/>
                <w:sz w:val="20"/>
              </w:rPr>
              <w:t>Parțial</w:t>
            </w:r>
          </w:p>
        </w:tc>
        <w:tc>
          <w:tcPr>
            <w:tcW w:type="dxa" w:w="1440"/>
          </w:tcPr>
          <w:p>
            <w:r>
              <w:rPr>
                <w:rFonts w:ascii="Times New Roman" w:hAnsi="Times New Roman"/>
                <w:sz w:val="20"/>
              </w:rPr>
              <w:t>Parțial</w:t>
            </w:r>
          </w:p>
        </w:tc>
        <w:tc>
          <w:tcPr>
            <w:tcW w:type="dxa" w:w="1440"/>
          </w:tcPr>
          <w:p>
            <w:r>
              <w:rPr>
                <w:rFonts w:ascii="Times New Roman" w:hAnsi="Times New Roman"/>
                <w:sz w:val="20"/>
              </w:rPr>
              <w:t>Nu</w:t>
            </w:r>
          </w:p>
        </w:tc>
        <w:tc>
          <w:tcPr>
            <w:tcW w:type="dxa" w:w="1440"/>
          </w:tcPr>
          <w:p>
            <w:r>
              <w:rPr>
                <w:rFonts w:ascii="Times New Roman" w:hAnsi="Times New Roman"/>
                <w:sz w:val="20"/>
              </w:rPr>
              <w:t>Nu</w:t>
            </w:r>
          </w:p>
        </w:tc>
        <w:tc>
          <w:tcPr>
            <w:tcW w:type="dxa" w:w="1440"/>
          </w:tcPr>
          <w:p>
            <w:r>
              <w:rPr>
                <w:rFonts w:ascii="Times New Roman" w:hAnsi="Times New Roman"/>
                <w:sz w:val="20"/>
              </w:rPr>
              <w:t>Da (99,98%)</w:t>
            </w:r>
          </w:p>
        </w:tc>
      </w:tr>
      <w:tr>
        <w:tc>
          <w:tcPr>
            <w:tcW w:type="dxa" w:w="1440"/>
          </w:tcPr>
          <w:p>
            <w:r>
              <w:rPr>
                <w:rFonts w:ascii="Times New Roman" w:hAnsi="Times New Roman"/>
                <w:sz w:val="20"/>
              </w:rPr>
              <w:t>Filtrare categorie vârstă</w:t>
            </w:r>
          </w:p>
        </w:tc>
        <w:tc>
          <w:tcPr>
            <w:tcW w:type="dxa" w:w="1440"/>
          </w:tcPr>
          <w:p>
            <w:r>
              <w:rPr>
                <w:rFonts w:ascii="Times New Roman" w:hAnsi="Times New Roman"/>
                <w:sz w:val="20"/>
              </w:rPr>
              <w:t>Nu</w:t>
            </w:r>
          </w:p>
        </w:tc>
        <w:tc>
          <w:tcPr>
            <w:tcW w:type="dxa" w:w="1440"/>
          </w:tcPr>
          <w:p>
            <w:r>
              <w:rPr>
                <w:rFonts w:ascii="Times New Roman" w:hAnsi="Times New Roman"/>
                <w:sz w:val="20"/>
              </w:rPr>
              <w:t>Nu</w:t>
            </w:r>
          </w:p>
        </w:tc>
        <w:tc>
          <w:tcPr>
            <w:tcW w:type="dxa" w:w="1440"/>
          </w:tcPr>
          <w:p>
            <w:r>
              <w:rPr>
                <w:rFonts w:ascii="Times New Roman" w:hAnsi="Times New Roman"/>
                <w:sz w:val="20"/>
              </w:rPr>
              <w:t>Nu</w:t>
            </w:r>
          </w:p>
        </w:tc>
        <w:tc>
          <w:tcPr>
            <w:tcW w:type="dxa" w:w="1440"/>
          </w:tcPr>
          <w:p>
            <w:r>
              <w:rPr>
                <w:rFonts w:ascii="Times New Roman" w:hAnsi="Times New Roman"/>
                <w:sz w:val="20"/>
              </w:rPr>
              <w:t>Nu</w:t>
            </w:r>
          </w:p>
        </w:tc>
        <w:tc>
          <w:tcPr>
            <w:tcW w:type="dxa" w:w="1440"/>
          </w:tcPr>
          <w:p>
            <w:r>
              <w:rPr>
                <w:rFonts w:ascii="Times New Roman" w:hAnsi="Times New Roman"/>
                <w:sz w:val="20"/>
              </w:rPr>
              <w:t>Da</w:t>
            </w:r>
          </w:p>
        </w:tc>
      </w:tr>
      <w:tr>
        <w:tc>
          <w:tcPr>
            <w:tcW w:type="dxa" w:w="1440"/>
          </w:tcPr>
          <w:p>
            <w:r>
              <w:rPr>
                <w:rFonts w:ascii="Times New Roman" w:hAnsi="Times New Roman"/>
                <w:sz w:val="20"/>
              </w:rPr>
              <w:t>Filtrare listă compensare</w:t>
            </w:r>
          </w:p>
        </w:tc>
        <w:tc>
          <w:tcPr>
            <w:tcW w:type="dxa" w:w="1440"/>
          </w:tcPr>
          <w:p>
            <w:r>
              <w:rPr>
                <w:rFonts w:ascii="Times New Roman" w:hAnsi="Times New Roman"/>
                <w:sz w:val="20"/>
              </w:rPr>
              <w:t>Nu</w:t>
            </w:r>
          </w:p>
        </w:tc>
        <w:tc>
          <w:tcPr>
            <w:tcW w:type="dxa" w:w="1440"/>
          </w:tcPr>
          <w:p>
            <w:r>
              <w:rPr>
                <w:rFonts w:ascii="Times New Roman" w:hAnsi="Times New Roman"/>
                <w:sz w:val="20"/>
              </w:rPr>
              <w:t>Nu</w:t>
            </w:r>
          </w:p>
        </w:tc>
        <w:tc>
          <w:tcPr>
            <w:tcW w:type="dxa" w:w="1440"/>
          </w:tcPr>
          <w:p>
            <w:r>
              <w:rPr>
                <w:rFonts w:ascii="Times New Roman" w:hAnsi="Times New Roman"/>
                <w:sz w:val="20"/>
              </w:rPr>
              <w:t>Nu</w:t>
            </w:r>
          </w:p>
        </w:tc>
        <w:tc>
          <w:tcPr>
            <w:tcW w:type="dxa" w:w="1440"/>
          </w:tcPr>
          <w:p>
            <w:r>
              <w:rPr>
                <w:rFonts w:ascii="Times New Roman" w:hAnsi="Times New Roman"/>
                <w:sz w:val="20"/>
              </w:rPr>
              <w:t>Da</w:t>
            </w:r>
          </w:p>
        </w:tc>
        <w:tc>
          <w:tcPr>
            <w:tcW w:type="dxa" w:w="1440"/>
          </w:tcPr>
          <w:p>
            <w:r>
              <w:rPr>
                <w:rFonts w:ascii="Times New Roman" w:hAnsi="Times New Roman"/>
                <w:sz w:val="20"/>
              </w:rPr>
              <w:t>Da</w:t>
            </w:r>
          </w:p>
        </w:tc>
      </w:tr>
      <w:tr>
        <w:tc>
          <w:tcPr>
            <w:tcW w:type="dxa" w:w="1440"/>
          </w:tcPr>
          <w:p>
            <w:r>
              <w:rPr>
                <w:rFonts w:ascii="Times New Roman" w:hAnsi="Times New Roman"/>
                <w:sz w:val="20"/>
              </w:rPr>
              <w:t>Rețete digitale + export PDF</w:t>
            </w:r>
          </w:p>
        </w:tc>
        <w:tc>
          <w:tcPr>
            <w:tcW w:type="dxa" w:w="1440"/>
          </w:tcPr>
          <w:p>
            <w:r>
              <w:rPr>
                <w:rFonts w:ascii="Times New Roman" w:hAnsi="Times New Roman"/>
                <w:sz w:val="20"/>
              </w:rPr>
              <w:t>Nu</w:t>
            </w:r>
          </w:p>
        </w:tc>
        <w:tc>
          <w:tcPr>
            <w:tcW w:type="dxa" w:w="1440"/>
          </w:tcPr>
          <w:p>
            <w:r>
              <w:rPr>
                <w:rFonts w:ascii="Times New Roman" w:hAnsi="Times New Roman"/>
                <w:sz w:val="20"/>
              </w:rPr>
              <w:t>Parțial</w:t>
            </w:r>
          </w:p>
        </w:tc>
        <w:tc>
          <w:tcPr>
            <w:tcW w:type="dxa" w:w="1440"/>
          </w:tcPr>
          <w:p>
            <w:r>
              <w:rPr>
                <w:rFonts w:ascii="Times New Roman" w:hAnsi="Times New Roman"/>
                <w:sz w:val="20"/>
              </w:rPr>
              <w:t>Nu</w:t>
            </w:r>
          </w:p>
        </w:tc>
        <w:tc>
          <w:tcPr>
            <w:tcW w:type="dxa" w:w="1440"/>
          </w:tcPr>
          <w:p>
            <w:r>
              <w:rPr>
                <w:rFonts w:ascii="Times New Roman" w:hAnsi="Times New Roman"/>
                <w:sz w:val="20"/>
              </w:rPr>
              <w:t>Nu</w:t>
            </w:r>
          </w:p>
        </w:tc>
        <w:tc>
          <w:tcPr>
            <w:tcW w:type="dxa" w:w="1440"/>
          </w:tcPr>
          <w:p>
            <w:r>
              <w:rPr>
                <w:rFonts w:ascii="Times New Roman" w:hAnsi="Times New Roman"/>
                <w:sz w:val="20"/>
              </w:rPr>
              <w:t>Da</w:t>
            </w:r>
          </w:p>
        </w:tc>
      </w:tr>
      <w:tr>
        <w:tc>
          <w:tcPr>
            <w:tcW w:type="dxa" w:w="1440"/>
          </w:tcPr>
          <w:p>
            <w:r>
              <w:rPr>
                <w:rFonts w:ascii="Times New Roman" w:hAnsi="Times New Roman"/>
                <w:sz w:val="20"/>
              </w:rPr>
              <w:t>Asistent AI pentru simptome</w:t>
            </w:r>
          </w:p>
        </w:tc>
        <w:tc>
          <w:tcPr>
            <w:tcW w:type="dxa" w:w="1440"/>
          </w:tcPr>
          <w:p>
            <w:r>
              <w:rPr>
                <w:rFonts w:ascii="Times New Roman" w:hAnsi="Times New Roman"/>
                <w:sz w:val="20"/>
              </w:rPr>
              <w:t>Nu</w:t>
            </w:r>
          </w:p>
        </w:tc>
        <w:tc>
          <w:tcPr>
            <w:tcW w:type="dxa" w:w="1440"/>
          </w:tcPr>
          <w:p>
            <w:r>
              <w:rPr>
                <w:rFonts w:ascii="Times New Roman" w:hAnsi="Times New Roman"/>
                <w:sz w:val="20"/>
              </w:rPr>
              <w:t>Nu</w:t>
            </w:r>
          </w:p>
        </w:tc>
        <w:tc>
          <w:tcPr>
            <w:tcW w:type="dxa" w:w="1440"/>
          </w:tcPr>
          <w:p>
            <w:r>
              <w:rPr>
                <w:rFonts w:ascii="Times New Roman" w:hAnsi="Times New Roman"/>
                <w:sz w:val="20"/>
              </w:rPr>
              <w:t>Parțial</w:t>
            </w:r>
          </w:p>
        </w:tc>
        <w:tc>
          <w:tcPr>
            <w:tcW w:type="dxa" w:w="1440"/>
          </w:tcPr>
          <w:p>
            <w:r>
              <w:rPr>
                <w:rFonts w:ascii="Times New Roman" w:hAnsi="Times New Roman"/>
                <w:sz w:val="20"/>
              </w:rPr>
              <w:t>Nu</w:t>
            </w:r>
          </w:p>
        </w:tc>
        <w:tc>
          <w:tcPr>
            <w:tcW w:type="dxa" w:w="1440"/>
          </w:tcPr>
          <w:p>
            <w:r>
              <w:rPr>
                <w:rFonts w:ascii="Times New Roman" w:hAnsi="Times New Roman"/>
                <w:sz w:val="20"/>
              </w:rPr>
              <w:t>Da (GPT-3.5)</w:t>
            </w:r>
          </w:p>
        </w:tc>
      </w:tr>
      <w:tr>
        <w:tc>
          <w:tcPr>
            <w:tcW w:type="dxa" w:w="1440"/>
          </w:tcPr>
          <w:p>
            <w:r>
              <w:rPr>
                <w:rFonts w:ascii="Times New Roman" w:hAnsi="Times New Roman"/>
                <w:sz w:val="20"/>
              </w:rPr>
              <w:t>Autentificare + rol administrator</w:t>
            </w:r>
          </w:p>
        </w:tc>
        <w:tc>
          <w:tcPr>
            <w:tcW w:type="dxa" w:w="1440"/>
          </w:tcPr>
          <w:p>
            <w:r>
              <w:rPr>
                <w:rFonts w:ascii="Times New Roman" w:hAnsi="Times New Roman"/>
                <w:sz w:val="20"/>
              </w:rPr>
              <w:t>Da</w:t>
            </w:r>
          </w:p>
        </w:tc>
        <w:tc>
          <w:tcPr>
            <w:tcW w:type="dxa" w:w="1440"/>
          </w:tcPr>
          <w:p>
            <w:r>
              <w:rPr>
                <w:rFonts w:ascii="Times New Roman" w:hAnsi="Times New Roman"/>
                <w:sz w:val="20"/>
              </w:rPr>
              <w:t>Da</w:t>
            </w:r>
          </w:p>
        </w:tc>
        <w:tc>
          <w:tcPr>
            <w:tcW w:type="dxa" w:w="1440"/>
          </w:tcPr>
          <w:p>
            <w:r>
              <w:rPr>
                <w:rFonts w:ascii="Times New Roman" w:hAnsi="Times New Roman"/>
                <w:sz w:val="20"/>
              </w:rPr>
              <w:t>Nu</w:t>
            </w:r>
          </w:p>
        </w:tc>
        <w:tc>
          <w:tcPr>
            <w:tcW w:type="dxa" w:w="1440"/>
          </w:tcPr>
          <w:p>
            <w:r>
              <w:rPr>
                <w:rFonts w:ascii="Times New Roman" w:hAnsi="Times New Roman"/>
                <w:sz w:val="20"/>
              </w:rPr>
              <w:t>Nu</w:t>
            </w:r>
          </w:p>
        </w:tc>
        <w:tc>
          <w:tcPr>
            <w:tcW w:type="dxa" w:w="1440"/>
          </w:tcPr>
          <w:p>
            <w:r>
              <w:rPr>
                <w:rFonts w:ascii="Times New Roman" w:hAnsi="Times New Roman"/>
                <w:sz w:val="20"/>
              </w:rPr>
              <w:t>Da</w:t>
            </w:r>
          </w:p>
        </w:tc>
      </w:tr>
      <w:tr>
        <w:tc>
          <w:tcPr>
            <w:tcW w:type="dxa" w:w="1440"/>
          </w:tcPr>
          <w:p>
            <w:r>
              <w:rPr>
                <w:rFonts w:ascii="Times New Roman" w:hAnsi="Times New Roman"/>
                <w:sz w:val="20"/>
              </w:rPr>
              <w:t>Speech-to-text note medicale</w:t>
            </w:r>
          </w:p>
        </w:tc>
        <w:tc>
          <w:tcPr>
            <w:tcW w:type="dxa" w:w="1440"/>
          </w:tcPr>
          <w:p>
            <w:r>
              <w:rPr>
                <w:rFonts w:ascii="Times New Roman" w:hAnsi="Times New Roman"/>
                <w:sz w:val="20"/>
              </w:rPr>
              <w:t>Nu</w:t>
            </w:r>
          </w:p>
        </w:tc>
        <w:tc>
          <w:tcPr>
            <w:tcW w:type="dxa" w:w="1440"/>
          </w:tcPr>
          <w:p>
            <w:r>
              <w:rPr>
                <w:rFonts w:ascii="Times New Roman" w:hAnsi="Times New Roman"/>
                <w:sz w:val="20"/>
              </w:rPr>
              <w:t>Nu</w:t>
            </w:r>
          </w:p>
        </w:tc>
        <w:tc>
          <w:tcPr>
            <w:tcW w:type="dxa" w:w="1440"/>
          </w:tcPr>
          <w:p>
            <w:r>
              <w:rPr>
                <w:rFonts w:ascii="Times New Roman" w:hAnsi="Times New Roman"/>
                <w:sz w:val="20"/>
              </w:rPr>
              <w:t>Nu</w:t>
            </w:r>
          </w:p>
        </w:tc>
        <w:tc>
          <w:tcPr>
            <w:tcW w:type="dxa" w:w="1440"/>
          </w:tcPr>
          <w:p>
            <w:r>
              <w:rPr>
                <w:rFonts w:ascii="Times New Roman" w:hAnsi="Times New Roman"/>
                <w:sz w:val="20"/>
              </w:rPr>
              <w:t>Nu</w:t>
            </w:r>
          </w:p>
        </w:tc>
        <w:tc>
          <w:tcPr>
            <w:tcW w:type="dxa" w:w="1440"/>
          </w:tcPr>
          <w:p>
            <w:r>
              <w:rPr>
                <w:rFonts w:ascii="Times New Roman" w:hAnsi="Times New Roman"/>
                <w:sz w:val="20"/>
              </w:rPr>
              <w:t>Da (ro-RO)</w:t>
            </w:r>
          </w:p>
        </w:tc>
      </w:tr>
      <w:tr>
        <w:tc>
          <w:tcPr>
            <w:tcW w:type="dxa" w:w="1440"/>
          </w:tcPr>
          <w:p>
            <w:r>
              <w:rPr>
                <w:rFonts w:ascii="Times New Roman" w:hAnsi="Times New Roman"/>
                <w:sz w:val="20"/>
              </w:rPr>
              <w:t>Deploy cloud (Azure)</w:t>
            </w:r>
          </w:p>
        </w:tc>
        <w:tc>
          <w:tcPr>
            <w:tcW w:type="dxa" w:w="1440"/>
          </w:tcPr>
          <w:p>
            <w:r>
              <w:rPr>
                <w:rFonts w:ascii="Times New Roman" w:hAnsi="Times New Roman"/>
                <w:sz w:val="20"/>
              </w:rPr>
              <w:t>Da</w:t>
            </w:r>
          </w:p>
        </w:tc>
        <w:tc>
          <w:tcPr>
            <w:tcW w:type="dxa" w:w="1440"/>
          </w:tcPr>
          <w:p>
            <w:r>
              <w:rPr>
                <w:rFonts w:ascii="Times New Roman" w:hAnsi="Times New Roman"/>
                <w:sz w:val="20"/>
              </w:rPr>
              <w:t>Da</w:t>
            </w:r>
          </w:p>
        </w:tc>
        <w:tc>
          <w:tcPr>
            <w:tcW w:type="dxa" w:w="1440"/>
          </w:tcPr>
          <w:p>
            <w:r>
              <w:rPr>
                <w:rFonts w:ascii="Times New Roman" w:hAnsi="Times New Roman"/>
                <w:sz w:val="20"/>
              </w:rPr>
              <w:t>Da</w:t>
            </w:r>
          </w:p>
        </w:tc>
        <w:tc>
          <w:tcPr>
            <w:tcW w:type="dxa" w:w="1440"/>
          </w:tcPr>
          <w:p>
            <w:r>
              <w:rPr>
                <w:rFonts w:ascii="Times New Roman" w:hAnsi="Times New Roman"/>
                <w:sz w:val="20"/>
              </w:rPr>
              <w:t>Da</w:t>
            </w:r>
          </w:p>
        </w:tc>
        <w:tc>
          <w:tcPr>
            <w:tcW w:type="dxa" w:w="1440"/>
          </w:tcPr>
          <w:p>
            <w:r>
              <w:rPr>
                <w:rFonts w:ascii="Times New Roman" w:hAnsi="Times New Roman"/>
                <w:sz w:val="20"/>
              </w:rPr>
              <w:t>Da</w:t>
            </w:r>
          </w:p>
        </w:tc>
      </w:tr>
      <w:tr>
        <w:tc>
          <w:tcPr>
            <w:tcW w:type="dxa" w:w="1440"/>
          </w:tcPr>
          <w:p>
            <w:r>
              <w:rPr>
                <w:rFonts w:ascii="Times New Roman" w:hAnsi="Times New Roman"/>
                <w:sz w:val="20"/>
              </w:rPr>
              <w:t>Acces gratuit utilizatori finali</w:t>
            </w:r>
          </w:p>
        </w:tc>
        <w:tc>
          <w:tcPr>
            <w:tcW w:type="dxa" w:w="1440"/>
          </w:tcPr>
          <w:p>
            <w:r>
              <w:rPr>
                <w:rFonts w:ascii="Times New Roman" w:hAnsi="Times New Roman"/>
                <w:sz w:val="20"/>
              </w:rPr>
              <w:t>Parțial</w:t>
            </w:r>
          </w:p>
        </w:tc>
        <w:tc>
          <w:tcPr>
            <w:tcW w:type="dxa" w:w="1440"/>
          </w:tcPr>
          <w:p>
            <w:r>
              <w:rPr>
                <w:rFonts w:ascii="Times New Roman" w:hAnsi="Times New Roman"/>
                <w:sz w:val="20"/>
              </w:rPr>
              <w:t>Nu</w:t>
            </w:r>
          </w:p>
        </w:tc>
        <w:tc>
          <w:tcPr>
            <w:tcW w:type="dxa" w:w="1440"/>
          </w:tcPr>
          <w:p>
            <w:r>
              <w:rPr>
                <w:rFonts w:ascii="Times New Roman" w:hAnsi="Times New Roman"/>
                <w:sz w:val="20"/>
              </w:rPr>
              <w:t>Da</w:t>
            </w:r>
          </w:p>
        </w:tc>
        <w:tc>
          <w:tcPr>
            <w:tcW w:type="dxa" w:w="1440"/>
          </w:tcPr>
          <w:p>
            <w:r>
              <w:rPr>
                <w:rFonts w:ascii="Times New Roman" w:hAnsi="Times New Roman"/>
                <w:sz w:val="20"/>
              </w:rPr>
              <w:t>Da</w:t>
            </w:r>
          </w:p>
        </w:tc>
        <w:tc>
          <w:tcPr>
            <w:tcW w:type="dxa" w:w="1440"/>
          </w:tcPr>
          <w:p>
            <w:r>
              <w:rPr>
                <w:rFonts w:ascii="Times New Roman" w:hAnsi="Times New Roman"/>
                <w:sz w:val="20"/>
              </w:rPr>
              <w:t>Da</w:t>
            </w:r>
          </w:p>
        </w:tc>
      </w:tr>
    </w:tbl>
    <w:p/>
    <w:p>
      <w:pPr>
        <w:pStyle w:val="Heading2"/>
      </w:pPr>
      <w:r>
        <w:t>2.6 Concluzii</w:t>
      </w:r>
    </w:p>
    <w:p>
      <w:r>
        <w:rPr>
          <w:rFonts w:ascii="Times New Roman" w:hAnsi="Times New Roman"/>
          <w:b w:val="0"/>
          <w:sz w:val="24"/>
        </w:rPr>
        <w:t>Analiza aplicațiilor existente evidențiază un gol semnificativ pe piața românească: niciuna dintre soluțiile internaționale nu integrează lista CNAS cu mapare ATC–boli, iar platforma oficială nu oferă instrumente moderne de asistare a prescrierii. MedAI combină avantajele unei baze de date naționale complete cu funcționalități inovatoare: filtrare avansată, rețete digitale, asistent AI și speech-to-text în limba română, toate într-o arhitectură cloud scalabilă pe Azure.</w:t>
      </w:r>
    </w:p>
    <w:p>
      <w:r>
        <w:rPr>
          <w:rFonts w:ascii="Times New Roman" w:hAnsi="Times New Roman"/>
          <w:b w:val="0"/>
          <w:sz w:val="24"/>
        </w:rPr>
        <w:t>Analiza comparativă detaliată a pieței aplicațiilor medicale relevă o tendință clară spre digitalizare</w:t>
        <w:br/>
        <w:t>a serviciilor de sănătate la nivel global. Conform literaturii de specialitate publicată pe IEEE Xplore,</w:t>
        <w:br/>
        <w:t>adoptarea sistemelor informatice în domeniul medical a crescut semnificativ în ultimul deceniu, determinată</w:t>
        <w:br/>
        <w:t>de necesitatea reducerii erorilor medicamentoase, îmbunătățirii comunicării medic-pacient și optimizării</w:t>
        <w:br/>
        <w:t>timpului alocat actului medical propriu-zis. În acest context, aplicația MedAI propune o soluție adaptată</w:t>
        <w:br/>
        <w:t>specificului sistemului de sănătate românesc, completând lacunele identificate în aplicațiile analizate.</w:t>
      </w:r>
    </w:p>
    <w:p>
      <w:r>
        <w:rPr>
          <w:rFonts w:ascii="Times New Roman" w:hAnsi="Times New Roman"/>
          <w:b w:val="0"/>
          <w:sz w:val="24"/>
        </w:rPr>
        <w:t>Medscape, deși lider global, operează pe o piață diferită de cea românească. Medicamentele compensate</w:t>
        <w:br/>
        <w:t>de CNAS au reguli specifice de prescriere, contribuții diferențiate ale pacientului și liste de compensare</w:t>
        <w:br/>
        <w:t>care nu au echivalent direct în sistemul american sau european occidental. De exemplu, lista A (compensare</w:t>
        <w:br/>
        <w:t>100%) include medicamente esențiale pentru afecțiuni cronice, iar lista C include medicamente cu compensare</w:t>
        <w:br/>
        <w:t>parțială variabilă. Aceste nuanțe necesită o interfață dedicată, nu o adaptare a unei soluții străine.</w:t>
      </w:r>
    </w:p>
    <w:p>
      <w:r>
        <w:rPr>
          <w:rFonts w:ascii="Times New Roman" w:hAnsi="Times New Roman"/>
          <w:b w:val="0"/>
          <w:sz w:val="24"/>
        </w:rPr>
        <w:t>Epocrates a demonstrat valoarea verificării interacțiunilor medicamentoase în timp real, funcționalitate</w:t>
        <w:br/>
        <w:t>pe care MedAI o poate integra în versiuni viitoare. Totuși, pentru medicul român, prioritatea imediată</w:t>
        <w:br/>
        <w:t>este identificarea rapidă a medicamentului potrivit din lista CNAS, cu informații complete despre preț,</w:t>
        <w:br/>
        <w:t>contribuție și cod de boală asociat. MedAI adresează exact această prioritate.</w:t>
      </w:r>
    </w:p>
    <w:p>
      <w:r>
        <w:rPr>
          <w:rFonts w:ascii="Times New Roman" w:hAnsi="Times New Roman"/>
          <w:b w:val="0"/>
          <w:sz w:val="24"/>
        </w:rPr>
        <w:t>Drugs.com a popularizat accesul publicului la informații medicamentoase, dar modelul său orientat spre</w:t>
        <w:br/>
        <w:t>pacienți nu satisface cerințele unui medici prescriptor. Lipsa autentificării profesionale, a istoricului</w:t>
        <w:br/>
        <w:t>rețetelor și a workflow-ului de aprobare administrativă îl face nepotrivit pentru utilizare clinică.</w:t>
      </w:r>
    </w:p>
    <w:p>
      <w:r>
        <w:rPr>
          <w:rFonts w:ascii="Times New Roman" w:hAnsi="Times New Roman"/>
          <w:b w:val="0"/>
          <w:sz w:val="24"/>
        </w:rPr>
        <w:t>Lista CNAS rămâne referința obligatorie pentru orice aplicație medicală din România. MedAI nu înlocuiește</w:t>
        <w:br/>
        <w:t>această sursă, ci o valorifică prin procesare automată, structurare în bază de date și îmbogățire cu</w:t>
        <w:br/>
        <w:t>mapări medicament-boală validate medical. Această abordare de tip „value-added layer" peste datele</w:t>
        <w:br/>
        <w:t>oficiale este diferențiatorul principal al aplicației propuse.</w:t>
      </w:r>
    </w:p>
    <w:p>
      <w:r>
        <w:br w:type="page"/>
      </w:r>
    </w:p>
    <w:p>
      <w:pPr>
        <w:pStyle w:val="Heading1"/>
      </w:pPr>
      <w:r>
        <w:t>3. Bazele teoretice</w:t>
      </w:r>
    </w:p>
    <w:p>
      <w:r>
        <w:rPr>
          <w:rFonts w:ascii="Times New Roman" w:hAnsi="Times New Roman"/>
          <w:b w:val="0"/>
          <w:sz w:val="24"/>
        </w:rPr>
        <w:t>Acest capitol prezintă tehnologiile și bibliotecile fundamentale utilizate în dezvoltarea aplicației MedAI, cu accent pe rolul fiecăreia în arhitectura generală a sistemului. Alegerea stack-ului tehnologic a fost ghidată de criterii de performanță, disponibilitatea documentației, costuri reduse de hosting (tier gratuit Azure) și compatibilitatea cu ecosistemul JavaScript full-stack.</w:t>
      </w:r>
    </w:p>
    <w:p>
      <w:pPr>
        <w:pStyle w:val="Heading2"/>
      </w:pPr>
      <w:r>
        <w:t>3.1 React și Vite</w:t>
      </w:r>
    </w:p>
    <w:p>
      <w:r>
        <w:rPr>
          <w:rFonts w:ascii="Times New Roman" w:hAnsi="Times New Roman"/>
          <w:b w:val="0"/>
          <w:sz w:val="24"/>
        </w:rPr>
        <w:t>React 18 este o bibliotecă JavaScript pentru construirea interfețelor utilizator bazate pe componente reutilizabile. Aplicația MedAI utilizează React pentru a gestiona starea complexă a tabelului de medicamente, modalele de autentificare, panoul de rețetă și chatbot-ul AI. Vite 5 este bundler-ul ales pentru dezvoltare, oferind timp de pornire rapid și Hot Module Replacement (HMR). [1]</w:t>
      </w:r>
    </w:p>
    <w:p>
      <w:r>
        <w:rPr>
          <w:rFonts w:ascii="Times New Roman" w:hAnsi="Times New Roman"/>
          <w:b w:val="0"/>
          <w:sz w:val="24"/>
        </w:rPr>
        <w:t>Arhitectura componentelor include App.jsx ca rădăcină, MedicinesTable.jsx ca componentă principală (peste 3.300 linii) și submodule specializate: AdminPanel, ChatBot, HistoryPage, AuthModals. [2]</w:t>
      </w:r>
    </w:p>
    <w:p>
      <w:pPr>
        <w:pStyle w:val="Heading2"/>
      </w:pPr>
      <w:r>
        <w:t>3.2 Node.js și Express</w:t>
      </w:r>
    </w:p>
    <w:p>
      <w:r>
        <w:rPr>
          <w:rFonts w:ascii="Times New Roman" w:hAnsi="Times New Roman"/>
          <w:b w:val="0"/>
          <w:sz w:val="24"/>
        </w:rPr>
        <w:t>Backend-ul aplicației este implementat cu Node.js și framework-ul Express 4, care oferă un API REST cu peste 25 de endpoint-uri pentru medicamente, autentificare, rețete, medicamente utilizator și administrare. Express gestionează middleware-ul CORS, parsarea JSON și rutarea cererilor HTTP. [3]</w:t>
      </w:r>
    </w:p>
    <w:p>
      <w:pPr>
        <w:pStyle w:val="Heading2"/>
      </w:pPr>
      <w:r>
        <w:t>3.3 Baze de date: SQLite și Azure SQL</w:t>
      </w:r>
    </w:p>
    <w:p>
      <w:r>
        <w:rPr>
          <w:rFonts w:ascii="Times New Roman" w:hAnsi="Times New Roman"/>
          <w:b w:val="0"/>
          <w:sz w:val="24"/>
        </w:rPr>
        <w:t>Pentru dezvoltare locală se utilizează SQLite3 (fișier medicamente.db), iar în producție Azure SQL Database pe serverul medai01.database.windows.net. Un adapter comun din backend/db/ comută automat între cele două sisteme pe baza variabilei de mediu AZURE_SQL_CONNECTION_STRING. [4]</w:t>
      </w:r>
    </w:p>
    <w:p>
      <w:pPr>
        <w:pStyle w:val="Heading2"/>
      </w:pPr>
      <w:r>
        <w:t>3.4 Microsoft Azure</w:t>
      </w:r>
    </w:p>
    <w:p>
      <w:r>
        <w:rPr>
          <w:rFonts w:ascii="Times New Roman" w:hAnsi="Times New Roman"/>
          <w:b w:val="0"/>
          <w:sz w:val="24"/>
        </w:rPr>
        <w:t>Aplicația este deployată pe Azure Static Web Apps (frontend React) și Azure App Service (backend Express). GitHub Actions automatizează procesul de build și deploy la fiecare push pe branch-ul main. Azure SQL stochează datele persistente în producție. [4]</w:t>
      </w:r>
    </w:p>
    <w:p>
      <w:pPr>
        <w:pStyle w:val="Heading2"/>
      </w:pPr>
      <w:r>
        <w:t>3.5 OpenAI GPT-3.5-turbo</w:t>
      </w:r>
    </w:p>
    <w:p>
      <w:r>
        <w:rPr>
          <w:rFonts w:ascii="Times New Roman" w:hAnsi="Times New Roman"/>
          <w:b w:val="0"/>
          <w:sz w:val="24"/>
        </w:rPr>
        <w:t>Modelul GPT-3.5-turbo de la OpenAI este utilizat în două scenarii: chatbot-ul medical care recomandă medicamente CNAS pe baza simptomelor și generarea de sfaturi medicale din notele pacientului la finalizarea rețetei. Cheia API este păstrată server-side printr-un proxy Express/Azure Functions. [5]</w:t>
      </w:r>
    </w:p>
    <w:p>
      <w:pPr>
        <w:pStyle w:val="Heading2"/>
      </w:pPr>
      <w:r>
        <w:t>3.6 Alte tehnologii</w:t>
      </w:r>
    </w:p>
    <w:p>
      <w:r>
        <w:rPr>
          <w:rFonts w:ascii="Times New Roman" w:hAnsi="Times New Roman"/>
          <w:b w:val="0"/>
          <w:sz w:val="24"/>
        </w:rPr>
        <w:t>bcryptjs asigură hash-uirea securizată a parolelor utilizatorilor [11]. PapaParse permite parsarea fișierului CSV ca fallback când API-ul nu este disponibil [13]. html2pdf.js generează documente PDF din rețetele salvate [15]. Web Speech API (limba ro-RO) permite dictarea notelor medicale și ale pacientului prin microfon [12].</w:t>
      </w:r>
    </w:p>
    <w:p>
      <w:pPr>
        <w:pStyle w:val="Heading2"/>
      </w:pPr>
      <w:r>
        <w:t>3.7 Metodologia de dezvoltare</w:t>
      </w:r>
    </w:p>
    <w:p>
      <w:r>
        <w:rPr>
          <w:rFonts w:ascii="Times New Roman" w:hAnsi="Times New Roman"/>
          <w:b w:val="0"/>
          <w:sz w:val="24"/>
        </w:rPr>
        <w:t>Proiectul a fost dezvoltat iterativ, urmând o abordare asemănătoare metodologiei agile. Fazele principale au fost: (1) importul și structurarea datelor CNAS, (2) dezvoltarea interfeței de căutare și filtrare, (3) implementarea fluxului de rețetă, (4) integrarea OpenAI, (5) autentificare și panou admin, (6) deploy Azure și testare Playwright. Versionarea codului s-a realizat cu Git, iar deploy-ul automat cu GitHub Actions.</w:t>
      </w:r>
    </w:p>
    <w:p>
      <w:r>
        <w:rPr>
          <w:rFonts w:ascii="Times New Roman" w:hAnsi="Times New Roman"/>
          <w:b w:val="0"/>
          <w:sz w:val="24"/>
        </w:rPr>
        <w:t>Pentru maparea medicament–boală s-a utilizat un dicționar ATC_TO_DISEASE_MAP cu 992 coduri, procesat cu pandas în scriptul Python map_atc_to_diseases_COMPLETE.py. Rezultatul a fost validat prin certificarea medicală documentată în CERTIFICARE_MEDICALA_FINALA.md, care confirmă corectitudinea mapărilor pentru medicamente uzuale (omeprazol, metformin, amoxicilină etc.).</w:t>
      </w:r>
    </w:p>
    <w:p>
      <w:r>
        <w:rPr>
          <w:rFonts w:ascii="Times New Roman" w:hAnsi="Times New Roman"/>
          <w:b w:val="0"/>
          <w:sz w:val="24"/>
        </w:rPr>
        <w:t>React utilizează un model declarativ de programare: interfața este descrisă ca o funcție de stare (UI = f(state)). La modificarea stării (de exemplu, schimbarea filtrului de căutare), React recalculează virtual DOM-ul și aplică doar diferențele necesare în DOM-ul real, optimizând performanța.</w:t>
      </w:r>
    </w:p>
    <w:p>
      <w:r>
        <w:rPr>
          <w:rFonts w:ascii="Times New Roman" w:hAnsi="Times New Roman"/>
          <w:b w:val="0"/>
          <w:sz w:val="24"/>
        </w:rPr>
        <w:t>Hooks-urile React (useState, useEffect, useMemo, useCallback) sunt utilizate extensiv în MedAI. useMemo memorează rezultatele filtrării medicamentelor, evitând recalcularea la fiecare render. useCallback stabilizează referințele funcțiilor transmise ca props copiilor.</w:t>
      </w:r>
    </w:p>
    <w:p>
      <w:r>
        <w:rPr>
          <w:rFonts w:ascii="Times New Roman" w:hAnsi="Times New Roman"/>
          <w:b w:val="0"/>
          <w:sz w:val="24"/>
        </w:rPr>
        <w:t>Vite folosește ES modules native în dezvoltare, eliminând bundling-ul la pornire. Plugin-ul @vitejs/plugin-react activează Fast Refresh pentru actualizare instantanee a componentelor modificate. Build-ul de producție utilizează Rollup pentru optimizare și tree-shaking.</w:t>
      </w:r>
    </w:p>
    <w:p>
      <w:r>
        <w:rPr>
          <w:rFonts w:ascii="Times New Roman" w:hAnsi="Times New Roman"/>
          <w:b w:val="0"/>
          <w:sz w:val="24"/>
        </w:rPr>
        <w:t>Express.js implementează pattern-ul middleware: fiecare cerere HTTP traversează o lanț de funcții (CORS, JSON parser, router handler). Această arhitectură modulară permite adăugarea ușoară de noi endpoint-uri fără modificarea nucleului aplicației.</w:t>
      </w:r>
    </w:p>
    <w:p>
      <w:r>
        <w:rPr>
          <w:rFonts w:ascii="Times New Roman" w:hAnsi="Times New Roman"/>
          <w:b w:val="0"/>
          <w:sz w:val="24"/>
        </w:rPr>
        <w:t>Azure SQL Database oferă SLA de 99,99%, backup automat și geo-replicare. Connection pooling prin biblioteca mssql optimizează utilizarea conexiunilor. În dezvoltare locală, SQLite elimină dependența de cloud, accelerând ciclul de dezvoltare.</w:t>
      </w:r>
    </w:p>
    <w:p>
      <w:r>
        <w:rPr>
          <w:rFonts w:ascii="Times New Roman" w:hAnsi="Times New Roman"/>
          <w:b w:val="0"/>
          <w:sz w:val="24"/>
        </w:rPr>
        <w:t>OpenAI GPT-3.5-turbo este un model de limbaj instruit prin reinforcement learning from human feedback (RLHF). Parametrii temperature (0.7) și max_tokens (500-800) sunt calibrați pentru echilibru între creativitate și consistență medicală.</w:t>
      </w:r>
    </w:p>
    <w:p>
      <w:r>
        <w:rPr>
          <w:rFonts w:ascii="Times New Roman" w:hAnsi="Times New Roman"/>
          <w:b w:val="0"/>
          <w:sz w:val="24"/>
        </w:rPr>
        <w:t>bcrypt utilizează algoritmul Blowfish cu un cost factor configurabil (10 runde în MedAI), făcând atacurile brute-force computațional costisitoare. Parolele nu sunt niciodată stocate în clar în baza de date.</w:t>
      </w:r>
    </w:p>
    <w:p>
      <w:r>
        <w:br w:type="page"/>
      </w:r>
    </w:p>
    <w:p>
      <w:pPr>
        <w:pStyle w:val="Heading1"/>
      </w:pPr>
      <w:r>
        <w:t>4. Soluția propusă și metodologia de proiectare/dezvoltare</w:t>
      </w:r>
    </w:p>
    <w:p>
      <w:pPr>
        <w:pStyle w:val="Heading2"/>
      </w:pPr>
      <w:r>
        <w:t>4.1 Arhitectura generală a sistemului</w:t>
      </w:r>
    </w:p>
    <w:p>
      <w:r>
        <w:rPr>
          <w:rFonts w:ascii="Times New Roman" w:hAnsi="Times New Roman"/>
          <w:b w:val="0"/>
          <w:sz w:val="24"/>
        </w:rPr>
        <w:t>Arhitectura MedAI urmează modelul three-tier (trei straturi): stratul de prezentare (React SPA), stratul de logică de business (Express API + opțional Azure Functions) și stratul de date (Azure SQL / SQLite + fișiere CSV statice). Un serviciu extern OpenAI este integrat prin proxy pentru a proteja cheia API.</w:t>
      </w:r>
    </w:p>
    <w:p>
      <w:pPr>
        <w:jc w:val="center"/>
      </w:pPr>
      <w:r>
        <w:drawing>
          <wp:inline xmlns:a="http://schemas.openxmlformats.org/drawingml/2006/main" xmlns:pic="http://schemas.openxmlformats.org/drawingml/2006/picture">
            <wp:extent cx="5029200" cy="3200400"/>
            <wp:docPr id="1" name="Picture 1"/>
            <wp:cNvGraphicFramePr>
              <a:graphicFrameLocks noChangeAspect="1"/>
            </wp:cNvGraphicFramePr>
            <a:graphic>
              <a:graphicData uri="http://schemas.openxmlformats.org/drawingml/2006/picture">
                <pic:pic>
                  <pic:nvPicPr>
                    <pic:cNvPr id="0" name="01-arhitectura-sistem.png"/>
                    <pic:cNvPicPr/>
                  </pic:nvPicPr>
                  <pic:blipFill>
                    <a:blip r:embed="rId9"/>
                    <a:stretch>
                      <a:fillRect/>
                    </a:stretch>
                  </pic:blipFill>
                  <pic:spPr>
                    <a:xfrm>
                      <a:off x="0" y="0"/>
                      <a:ext cx="5029200" cy="3200400"/>
                    </a:xfrm>
                    <a:prstGeom prst="rect"/>
                  </pic:spPr>
                </pic:pic>
              </a:graphicData>
            </a:graphic>
          </wp:inline>
        </w:drawing>
      </w:r>
    </w:p>
    <w:p>
      <w:pPr>
        <w:jc w:val="center"/>
      </w:pPr>
      <w:r>
        <w:rPr>
          <w:rFonts w:ascii="Times New Roman" w:hAnsi="Times New Roman"/>
          <w:i/>
          <w:sz w:val="20"/>
        </w:rPr>
        <w:t>Figura 1 – Arhitectura generală a sistemului MedAI</w:t>
      </w:r>
    </w:p>
    <w:p>
      <w:r>
        <w:rPr>
          <w:rFonts w:ascii="Times New Roman" w:hAnsi="Times New Roman"/>
          <w:b w:val="0"/>
          <w:sz w:val="24"/>
        </w:rPr>
        <w:t>Figura de mai sus ilustrează fluxul de date: utilizatorul interacționează cu interfața React servită de Azure Static Web Apps; cererile API sunt direcționate către Express pe App Service; datele sunt persistate în Azure SQL, iar cererile AI sunt proxiate către OpenAI.</w:t>
      </w:r>
    </w:p>
    <w:p>
      <w:pPr>
        <w:pStyle w:val="Heading2"/>
      </w:pPr>
      <w:r>
        <w:t>4.2 Diagrama funcționalităților</w:t>
      </w:r>
    </w:p>
    <w:p>
      <w:pPr>
        <w:jc w:val="center"/>
      </w:pPr>
      <w:r>
        <w:drawing>
          <wp:inline xmlns:a="http://schemas.openxmlformats.org/drawingml/2006/main" xmlns:pic="http://schemas.openxmlformats.org/drawingml/2006/picture">
            <wp:extent cx="5029200" cy="3200400"/>
            <wp:docPr id="2" name="Picture 2"/>
            <wp:cNvGraphicFramePr>
              <a:graphicFrameLocks noChangeAspect="1"/>
            </wp:cNvGraphicFramePr>
            <a:graphic>
              <a:graphicData uri="http://schemas.openxmlformats.org/drawingml/2006/picture">
                <pic:pic>
                  <pic:nvPicPr>
                    <pic:cNvPr id="0" name="02-module-functionale.png"/>
                    <pic:cNvPicPr/>
                  </pic:nvPicPr>
                  <pic:blipFill>
                    <a:blip r:embed="rId10"/>
                    <a:stretch>
                      <a:fillRect/>
                    </a:stretch>
                  </pic:blipFill>
                  <pic:spPr>
                    <a:xfrm>
                      <a:off x="0" y="0"/>
                      <a:ext cx="5029200" cy="3200400"/>
                    </a:xfrm>
                    <a:prstGeom prst="rect"/>
                  </pic:spPr>
                </pic:pic>
              </a:graphicData>
            </a:graphic>
          </wp:inline>
        </w:drawing>
      </w:r>
    </w:p>
    <w:p>
      <w:pPr>
        <w:jc w:val="center"/>
      </w:pPr>
      <w:r>
        <w:rPr>
          <w:rFonts w:ascii="Times New Roman" w:hAnsi="Times New Roman"/>
          <w:i/>
          <w:sz w:val="20"/>
        </w:rPr>
        <w:t>Figura 2 – Modulele funcționale ale aplicației MedAI</w:t>
      </w:r>
    </w:p>
    <w:p>
      <w:r>
        <w:rPr>
          <w:rFonts w:ascii="Times New Roman" w:hAnsi="Times New Roman"/>
          <w:b w:val="0"/>
          <w:sz w:val="24"/>
        </w:rPr>
        <w:t>Aplicația este organizată în opt module funcționale principale, toate orchestrate de componenta centrală MedicinesTable.jsx: autentificare și administrare, căutare și filtrare, rețete digitale, chatbot AI, istoric rețete, medicamente personalizate, speech-to-text și export PDF.</w:t>
      </w:r>
    </w:p>
    <w:p>
      <w:pPr>
        <w:pStyle w:val="Heading2"/>
      </w:pPr>
      <w:r>
        <w:t>4.3 Cazuri de utilizare</w:t>
      </w:r>
    </w:p>
    <w:p>
      <w:r>
        <w:rPr>
          <w:rFonts w:ascii="Times New Roman" w:hAnsi="Times New Roman"/>
          <w:b w:val="0"/>
          <w:sz w:val="24"/>
        </w:rPr>
        <w:t>4.3.1 Prescrierea unui tratament medical</w:t>
      </w:r>
    </w:p>
    <w:p>
      <w:pPr>
        <w:jc w:val="center"/>
      </w:pPr>
      <w:r>
        <w:drawing>
          <wp:inline xmlns:a="http://schemas.openxmlformats.org/drawingml/2006/main" xmlns:pic="http://schemas.openxmlformats.org/drawingml/2006/picture">
            <wp:extent cx="5029200" cy="2743200"/>
            <wp:docPr id="3" name="Picture 3"/>
            <wp:cNvGraphicFramePr>
              <a:graphicFrameLocks noChangeAspect="1"/>
            </wp:cNvGraphicFramePr>
            <a:graphic>
              <a:graphicData uri="http://schemas.openxmlformats.org/drawingml/2006/picture">
                <pic:pic>
                  <pic:nvPicPr>
                    <pic:cNvPr id="0" name="03-usecase-prescriere.png"/>
                    <pic:cNvPicPr/>
                  </pic:nvPicPr>
                  <pic:blipFill>
                    <a:blip r:embed="rId11"/>
                    <a:stretch>
                      <a:fillRect/>
                    </a:stretch>
                  </pic:blipFill>
                  <pic:spPr>
                    <a:xfrm>
                      <a:off x="0" y="0"/>
                      <a:ext cx="5029200" cy="2743200"/>
                    </a:xfrm>
                    <a:prstGeom prst="rect"/>
                  </pic:spPr>
                </pic:pic>
              </a:graphicData>
            </a:graphic>
          </wp:inline>
        </w:drawing>
      </w:r>
    </w:p>
    <w:p>
      <w:pPr>
        <w:jc w:val="center"/>
      </w:pPr>
      <w:r>
        <w:rPr>
          <w:rFonts w:ascii="Times New Roman" w:hAnsi="Times New Roman"/>
          <w:i/>
          <w:sz w:val="20"/>
        </w:rPr>
        <w:t>Figura 3 – Caz de utilizare: Medic prescrie tratament</w:t>
      </w:r>
    </w:p>
    <w:p>
      <w:r>
        <w:rPr>
          <w:rFonts w:ascii="Times New Roman" w:hAnsi="Times New Roman"/>
          <w:b w:val="0"/>
          <w:sz w:val="24"/>
        </w:rPr>
        <w:t>Actorul principal este medicul autentificat cu cont aprobat. Acesta filtrează medicamentele după criterii clinice (categorie vârstă, listă compensare, substanță activă), adaugă medicamentele în coșul de rețetă, configurează planul de tratament (durată, frecvență), primește sfaturi AI bazate pe notele pacientului, salvează rețeta în baza de date și o exportă ca PDF.</w:t>
      </w:r>
    </w:p>
    <w:p>
      <w:r>
        <w:rPr>
          <w:rFonts w:ascii="Times New Roman" w:hAnsi="Times New Roman"/>
          <w:b w:val="0"/>
          <w:sz w:val="24"/>
        </w:rPr>
        <w:t>4.3.2 Recomandări AI pe baza simptomelor</w:t>
      </w:r>
    </w:p>
    <w:p>
      <w:pPr>
        <w:jc w:val="center"/>
      </w:pPr>
      <w:r>
        <w:drawing>
          <wp:inline xmlns:a="http://schemas.openxmlformats.org/drawingml/2006/main" xmlns:pic="http://schemas.openxmlformats.org/drawingml/2006/picture">
            <wp:extent cx="5029200" cy="2286000"/>
            <wp:docPr id="4" name="Picture 4"/>
            <wp:cNvGraphicFramePr>
              <a:graphicFrameLocks noChangeAspect="1"/>
            </wp:cNvGraphicFramePr>
            <a:graphic>
              <a:graphicData uri="http://schemas.openxmlformats.org/drawingml/2006/picture">
                <pic:pic>
                  <pic:nvPicPr>
                    <pic:cNvPr id="0" name="04-usecase-chatbot.png"/>
                    <pic:cNvPicPr/>
                  </pic:nvPicPr>
                  <pic:blipFill>
                    <a:blip r:embed="rId12"/>
                    <a:stretch>
                      <a:fillRect/>
                    </a:stretch>
                  </pic:blipFill>
                  <pic:spPr>
                    <a:xfrm>
                      <a:off x="0" y="0"/>
                      <a:ext cx="5029200" cy="2286000"/>
                    </a:xfrm>
                    <a:prstGeom prst="rect"/>
                  </pic:spPr>
                </pic:pic>
              </a:graphicData>
            </a:graphic>
          </wp:inline>
        </w:drawing>
      </w:r>
    </w:p>
    <w:p>
      <w:pPr>
        <w:jc w:val="center"/>
      </w:pPr>
      <w:r>
        <w:rPr>
          <w:rFonts w:ascii="Times New Roman" w:hAnsi="Times New Roman"/>
          <w:i/>
          <w:sz w:val="20"/>
        </w:rPr>
        <w:t>Figura 4 – Caz de utilizare: Recomandări AI</w:t>
      </w:r>
    </w:p>
    <w:p>
      <w:r>
        <w:rPr>
          <w:rFonts w:ascii="Times New Roman" w:hAnsi="Times New Roman"/>
          <w:b w:val="0"/>
          <w:sz w:val="24"/>
        </w:rPr>
        <w:t>Utilizatorul descrie simptomele pacientului în chatbot. GPT-3.5-turbo analizează textul, identifică afecțiunile posibile și recomandă medicamente din lista CNAS care au coduri de boală corespunzătoare.</w:t>
      </w:r>
    </w:p>
    <w:p>
      <w:r>
        <w:rPr>
          <w:rFonts w:ascii="Times New Roman" w:hAnsi="Times New Roman"/>
          <w:b w:val="0"/>
          <w:sz w:val="24"/>
        </w:rPr>
        <w:t>4.3.3 Administrarea conturilor utilizatorilor</w:t>
      </w:r>
    </w:p>
    <w:p>
      <w:pPr>
        <w:jc w:val="center"/>
      </w:pPr>
      <w:r>
        <w:drawing>
          <wp:inline xmlns:a="http://schemas.openxmlformats.org/drawingml/2006/main" xmlns:pic="http://schemas.openxmlformats.org/drawingml/2006/picture">
            <wp:extent cx="5029200" cy="2286000"/>
            <wp:docPr id="5" name="Picture 5"/>
            <wp:cNvGraphicFramePr>
              <a:graphicFrameLocks noChangeAspect="1"/>
            </wp:cNvGraphicFramePr>
            <a:graphic>
              <a:graphicData uri="http://schemas.openxmlformats.org/drawingml/2006/picture">
                <pic:pic>
                  <pic:nvPicPr>
                    <pic:cNvPr id="0" name="05-usecase-admin.png"/>
                    <pic:cNvPicPr/>
                  </pic:nvPicPr>
                  <pic:blipFill>
                    <a:blip r:embed="rId13"/>
                    <a:stretch>
                      <a:fillRect/>
                    </a:stretch>
                  </pic:blipFill>
                  <pic:spPr>
                    <a:xfrm>
                      <a:off x="0" y="0"/>
                      <a:ext cx="5029200" cy="2286000"/>
                    </a:xfrm>
                    <a:prstGeom prst="rect"/>
                  </pic:spPr>
                </pic:pic>
              </a:graphicData>
            </a:graphic>
          </wp:inline>
        </w:drawing>
      </w:r>
    </w:p>
    <w:p>
      <w:pPr>
        <w:jc w:val="center"/>
      </w:pPr>
      <w:r>
        <w:rPr>
          <w:rFonts w:ascii="Times New Roman" w:hAnsi="Times New Roman"/>
          <w:i/>
          <w:sz w:val="20"/>
        </w:rPr>
        <w:t>Figura 5 – Caz de utilizare: Administrare conturi</w:t>
      </w:r>
    </w:p>
    <w:p>
      <w:r>
        <w:rPr>
          <w:rFonts w:ascii="Times New Roman" w:hAnsi="Times New Roman"/>
          <w:b w:val="0"/>
          <w:sz w:val="24"/>
        </w:rPr>
        <w:t>Administratorul vizualizează cererile de înregistrare (status pending), aprobă sau respinge conturile, gestionează utilizatorii existenți și poate vizualiza rețetele emise de fiecare utilizator.</w:t>
      </w:r>
    </w:p>
    <w:p>
      <w:pPr>
        <w:pStyle w:val="Heading2"/>
      </w:pPr>
      <w:r>
        <w:t>4.4 Baza de date</w:t>
      </w:r>
    </w:p>
    <w:p>
      <w:pPr>
        <w:jc w:val="center"/>
      </w:pPr>
      <w:r>
        <w:drawing>
          <wp:inline xmlns:a="http://schemas.openxmlformats.org/drawingml/2006/main" xmlns:pic="http://schemas.openxmlformats.org/drawingml/2006/picture">
            <wp:extent cx="5029200" cy="3200400"/>
            <wp:docPr id="6" name="Picture 6"/>
            <wp:cNvGraphicFramePr>
              <a:graphicFrameLocks noChangeAspect="1"/>
            </wp:cNvGraphicFramePr>
            <a:graphic>
              <a:graphicData uri="http://schemas.openxmlformats.org/drawingml/2006/picture">
                <pic:pic>
                  <pic:nvPicPr>
                    <pic:cNvPr id="0" name="06-diagrama-er.png"/>
                    <pic:cNvPicPr/>
                  </pic:nvPicPr>
                  <pic:blipFill>
                    <a:blip r:embed="rId14"/>
                    <a:stretch>
                      <a:fillRect/>
                    </a:stretch>
                  </pic:blipFill>
                  <pic:spPr>
                    <a:xfrm>
                      <a:off x="0" y="0"/>
                      <a:ext cx="5029200" cy="3200400"/>
                    </a:xfrm>
                    <a:prstGeom prst="rect"/>
                  </pic:spPr>
                </pic:pic>
              </a:graphicData>
            </a:graphic>
          </wp:inline>
        </w:drawing>
      </w:r>
    </w:p>
    <w:p>
      <w:pPr>
        <w:jc w:val="center"/>
      </w:pPr>
      <w:r>
        <w:rPr>
          <w:rFonts w:ascii="Times New Roman" w:hAnsi="Times New Roman"/>
          <w:i/>
          <w:sz w:val="20"/>
        </w:rPr>
        <w:t>Figura 6 – Diagrama entitate-relație a bazei de date</w:t>
      </w:r>
    </w:p>
    <w:p>
      <w:r>
        <w:rPr>
          <w:rFonts w:ascii="Times New Roman" w:hAnsi="Times New Roman"/>
          <w:b/>
          <w:sz w:val="22"/>
        </w:rPr>
        <w:t>Tabelul 2 – Tabelele bazei de date MedAI</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0"/>
              </w:rPr>
              <w:t>Tabel</w:t>
            </w:r>
          </w:p>
        </w:tc>
        <w:tc>
          <w:tcPr>
            <w:tcW w:type="dxa" w:w="4320"/>
          </w:tcPr>
          <w:p>
            <w:r>
              <w:rPr>
                <w:rFonts w:ascii="Times New Roman" w:hAnsi="Times New Roman"/>
                <w:b/>
                <w:sz w:val="20"/>
              </w:rPr>
              <w:t>Descriere</w:t>
            </w:r>
          </w:p>
        </w:tc>
      </w:tr>
      <w:tr>
        <w:tc>
          <w:tcPr>
            <w:tcW w:type="dxa" w:w="4320"/>
          </w:tcPr>
          <w:p>
            <w:r>
              <w:rPr>
                <w:rFonts w:ascii="Times New Roman" w:hAnsi="Times New Roman"/>
                <w:sz w:val="20"/>
              </w:rPr>
              <w:t>medications</w:t>
            </w:r>
          </w:p>
        </w:tc>
        <w:tc>
          <w:tcPr>
            <w:tcW w:type="dxa" w:w="4320"/>
          </w:tcPr>
          <w:p>
            <w:r>
              <w:rPr>
                <w:rFonts w:ascii="Times New Roman" w:hAnsi="Times New Roman"/>
                <w:sz w:val="20"/>
              </w:rPr>
              <w:t>Stochează cele 6.479 medicamente CNAS cu 19 coloane (denumire, substanță activă, cod ATC, listă compensare, prețuri, coduri boli etc.)</w:t>
            </w:r>
          </w:p>
        </w:tc>
      </w:tr>
      <w:tr>
        <w:tc>
          <w:tcPr>
            <w:tcW w:type="dxa" w:w="4320"/>
          </w:tcPr>
          <w:p>
            <w:r>
              <w:rPr>
                <w:rFonts w:ascii="Times New Roman" w:hAnsi="Times New Roman"/>
                <w:sz w:val="20"/>
              </w:rPr>
              <w:t>users</w:t>
            </w:r>
          </w:p>
        </w:tc>
        <w:tc>
          <w:tcPr>
            <w:tcW w:type="dxa" w:w="4320"/>
          </w:tcPr>
          <w:p>
            <w:r>
              <w:rPr>
                <w:rFonts w:ascii="Times New Roman" w:hAnsi="Times New Roman"/>
                <w:sz w:val="20"/>
              </w:rPr>
              <w:t>Utilizatori înregistrați: nume, email, parolă hash-uită (bcrypt), status (pending/approved/rejected), is_admin, soft delete</w:t>
            </w:r>
          </w:p>
        </w:tc>
      </w:tr>
      <w:tr>
        <w:tc>
          <w:tcPr>
            <w:tcW w:type="dxa" w:w="4320"/>
          </w:tcPr>
          <w:p>
            <w:r>
              <w:rPr>
                <w:rFonts w:ascii="Times New Roman" w:hAnsi="Times New Roman"/>
                <w:sz w:val="20"/>
              </w:rPr>
              <w:t>retete</w:t>
            </w:r>
          </w:p>
        </w:tc>
        <w:tc>
          <w:tcPr>
            <w:tcW w:type="dxa" w:w="4320"/>
          </w:tcPr>
          <w:p>
            <w:r>
              <w:rPr>
                <w:rFonts w:ascii="Times New Roman" w:hAnsi="Times New Roman"/>
                <w:sz w:val="20"/>
              </w:rPr>
              <w:t>Rețete salvate per utilizator: nume pacient, medicamente (JSON), planuri tratament (JSON), indicații pacient/medic</w:t>
            </w:r>
          </w:p>
        </w:tc>
      </w:tr>
      <w:tr>
        <w:tc>
          <w:tcPr>
            <w:tcW w:type="dxa" w:w="4320"/>
          </w:tcPr>
          <w:p>
            <w:r>
              <w:rPr>
                <w:rFonts w:ascii="Times New Roman" w:hAnsi="Times New Roman"/>
                <w:sz w:val="20"/>
              </w:rPr>
              <w:t>user_medicines</w:t>
            </w:r>
          </w:p>
        </w:tc>
        <w:tc>
          <w:tcPr>
            <w:tcW w:type="dxa" w:w="4320"/>
          </w:tcPr>
          <w:p>
            <w:r>
              <w:rPr>
                <w:rFonts w:ascii="Times New Roman" w:hAnsi="Times New Roman"/>
                <w:sz w:val="20"/>
              </w:rPr>
              <w:t>Medicamente personalizate adăugate de utilizatori (denumire, formă, concentrație, cod ATC, note)</w:t>
            </w:r>
          </w:p>
        </w:tc>
      </w:tr>
    </w:tbl>
    <w:p/>
    <w:p>
      <w:pPr>
        <w:pStyle w:val="Heading2"/>
      </w:pPr>
      <w:r>
        <w:t>4.5 Structura tabelei medications</w:t>
      </w:r>
    </w:p>
    <w:p>
      <w:r>
        <w:rPr>
          <w:rFonts w:ascii="Times New Roman" w:hAnsi="Times New Roman"/>
          <w:b w:val="0"/>
          <w:sz w:val="24"/>
        </w:rPr>
        <w:t>Tabela medications este tabela centrală a aplicației, conținând toate datele din lista CNAS plus coloanele adăugate prin procesare (coduri_boli, categorie_varsta). Mai jos sunt descrise toate coloanele:</w:t>
      </w:r>
    </w:p>
    <w:p>
      <w:r>
        <w:rPr>
          <w:rFonts w:ascii="Times New Roman" w:hAnsi="Times New Roman"/>
          <w:b w:val="0"/>
          <w:sz w:val="24"/>
        </w:rPr>
        <w:t>Coloana denumire_medicament: Denumirea comercială a medicamentului așa cum apare în lista CNAS.</w:t>
      </w:r>
    </w:p>
    <w:p>
      <w:r>
        <w:rPr>
          <w:rFonts w:ascii="Times New Roman" w:hAnsi="Times New Roman"/>
          <w:b w:val="0"/>
          <w:sz w:val="24"/>
        </w:rPr>
        <w:t>Coloana substanta_activa: Principiul activ responsabil de efectul terapeutic.</w:t>
      </w:r>
    </w:p>
    <w:p>
      <w:r>
        <w:rPr>
          <w:rFonts w:ascii="Times New Roman" w:hAnsi="Times New Roman"/>
          <w:b w:val="0"/>
          <w:sz w:val="24"/>
        </w:rPr>
        <w:t>Coloana lista_compensare: Categoria de compensare: A (100%), B (90%), C1/C2/C3 (50%/20%), D (special).</w:t>
      </w:r>
    </w:p>
    <w:p>
      <w:r>
        <w:rPr>
          <w:rFonts w:ascii="Times New Roman" w:hAnsi="Times New Roman"/>
          <w:b w:val="0"/>
          <w:sz w:val="24"/>
        </w:rPr>
        <w:t>Coloana cod_medicament: Codul unic al medicamentului în nomenclatorul CNAS.</w:t>
      </w:r>
    </w:p>
    <w:p>
      <w:r>
        <w:rPr>
          <w:rFonts w:ascii="Times New Roman" w:hAnsi="Times New Roman"/>
          <w:b w:val="0"/>
          <w:sz w:val="24"/>
        </w:rPr>
        <w:t>Coloana forma_farmaceutica: Forma de prezentare: comprimat, capsule, soluție injectabilă etc.</w:t>
      </w:r>
    </w:p>
    <w:p>
      <w:r>
        <w:rPr>
          <w:rFonts w:ascii="Times New Roman" w:hAnsi="Times New Roman"/>
          <w:b w:val="0"/>
          <w:sz w:val="24"/>
        </w:rPr>
        <w:t>Coloana cod_atc: Codul Anatomical Therapeutic Chemical pentru clasificare internațională.</w:t>
      </w:r>
    </w:p>
    <w:p>
      <w:r>
        <w:rPr>
          <w:rFonts w:ascii="Times New Roman" w:hAnsi="Times New Roman"/>
          <w:b w:val="0"/>
          <w:sz w:val="24"/>
        </w:rPr>
        <w:t>Coloana mod_prescriere: Regimul de prescriere: P (prescripție), P+S (cu semnătură) etc.</w:t>
      </w:r>
    </w:p>
    <w:p>
      <w:r>
        <w:rPr>
          <w:rFonts w:ascii="Times New Roman" w:hAnsi="Times New Roman"/>
          <w:b w:val="0"/>
          <w:sz w:val="24"/>
        </w:rPr>
        <w:t>Coloana concentratie: Concentrația substanței active per unitate.</w:t>
      </w:r>
    </w:p>
    <w:p>
      <w:r>
        <w:rPr>
          <w:rFonts w:ascii="Times New Roman" w:hAnsi="Times New Roman"/>
          <w:b w:val="0"/>
          <w:sz w:val="24"/>
        </w:rPr>
        <w:t>Coloana forma_ambalare: Tipul ambalajului: cutie, blister, flacon.</w:t>
      </w:r>
    </w:p>
    <w:p>
      <w:r>
        <w:rPr>
          <w:rFonts w:ascii="Times New Roman" w:hAnsi="Times New Roman"/>
          <w:b w:val="0"/>
          <w:sz w:val="24"/>
        </w:rPr>
        <w:t>Coloana nume_detinator_app: Denumirea deținătorului autorizației de punere pe piață.</w:t>
      </w:r>
    </w:p>
    <w:p>
      <w:r>
        <w:rPr>
          <w:rFonts w:ascii="Times New Roman" w:hAnsi="Times New Roman"/>
          <w:b w:val="0"/>
          <w:sz w:val="24"/>
        </w:rPr>
        <w:t>Coloana tara_detinator_app: Țara de origine a deținătorului APP.</w:t>
      </w:r>
    </w:p>
    <w:p>
      <w:r>
        <w:rPr>
          <w:rFonts w:ascii="Times New Roman" w:hAnsi="Times New Roman"/>
          <w:b w:val="0"/>
          <w:sz w:val="24"/>
        </w:rPr>
        <w:t>Coloana cantitate_pe_forma_ambalare: Numărul de unități terapeutice per ambalaj.</w:t>
      </w:r>
    </w:p>
    <w:p>
      <w:r>
        <w:rPr>
          <w:rFonts w:ascii="Times New Roman" w:hAnsi="Times New Roman"/>
          <w:b w:val="0"/>
          <w:sz w:val="24"/>
        </w:rPr>
        <w:t>Coloana pret_max_forma_ambalare: Prețul maxim al ambalajului la producător/importator.</w:t>
      </w:r>
    </w:p>
    <w:p>
      <w:r>
        <w:rPr>
          <w:rFonts w:ascii="Times New Roman" w:hAnsi="Times New Roman"/>
          <w:b w:val="0"/>
          <w:sz w:val="24"/>
        </w:rPr>
        <w:t>Coloana pret_max_ut: Prețul maxim per unitate terapeutică.</w:t>
      </w:r>
    </w:p>
    <w:p>
      <w:r>
        <w:rPr>
          <w:rFonts w:ascii="Times New Roman" w:hAnsi="Times New Roman"/>
          <w:b w:val="0"/>
          <w:sz w:val="24"/>
        </w:rPr>
        <w:t>Coloana contributie_max_100: Contribuția maximă a pacientului pentru categoria 100%.</w:t>
      </w:r>
    </w:p>
    <w:p>
      <w:r>
        <w:rPr>
          <w:rFonts w:ascii="Times New Roman" w:hAnsi="Times New Roman"/>
          <w:b w:val="0"/>
          <w:sz w:val="24"/>
        </w:rPr>
        <w:t>Coloana contributie_max_90_50_20: Contribuții pentru categoriile 90%, 50% și 20%.</w:t>
      </w:r>
    </w:p>
    <w:p>
      <w:r>
        <w:rPr>
          <w:rFonts w:ascii="Times New Roman" w:hAnsi="Times New Roman"/>
          <w:b w:val="0"/>
          <w:sz w:val="24"/>
        </w:rPr>
        <w:t>Coloana contributie_max_pensionari_90: Contribuția pensionarilor pentru categoria 90%.</w:t>
      </w:r>
    </w:p>
    <w:p>
      <w:r>
        <w:rPr>
          <w:rFonts w:ascii="Times New Roman" w:hAnsi="Times New Roman"/>
          <w:b w:val="0"/>
          <w:sz w:val="24"/>
        </w:rPr>
        <w:t>Coloana categorie_varsta: Categoria de vârstă recomandată: copii, adolescenți, tineri, adulți, bătrâni.</w:t>
      </w:r>
    </w:p>
    <w:p>
      <w:r>
        <w:rPr>
          <w:rFonts w:ascii="Times New Roman" w:hAnsi="Times New Roman"/>
          <w:b w:val="0"/>
          <w:sz w:val="24"/>
        </w:rPr>
        <w:t>Coloana coduri_boli: Codurile ICD ale bolilor pentru care medicamentul este indicat, separate prin virgulă.</w:t>
      </w:r>
    </w:p>
    <w:p>
      <w:pPr>
        <w:pStyle w:val="Heading2"/>
      </w:pPr>
      <w:r>
        <w:t>4.6 Acoperire pe categorii ATC</w:t>
      </w:r>
    </w:p>
    <w:p>
      <w:r>
        <w:rPr>
          <w:rFonts w:ascii="Times New Roman" w:hAnsi="Times New Roman"/>
          <w:b w:val="0"/>
          <w:sz w:val="24"/>
        </w:rPr>
        <w:t>Validarea datelor medicamentoase a confirmat acoperire completă pe toate cele 14 categorii ATC din lista CNAS. Tabelul următor prezintă statisticile per categorie:</w:t>
      </w:r>
    </w:p>
    <w:p>
      <w:r>
        <w:rPr>
          <w:rFonts w:ascii="Times New Roman" w:hAnsi="Times New Roman"/>
          <w:b/>
          <w:sz w:val="22"/>
        </w:rPr>
        <w:t>Tabelul 3 – Acoperire mapare medicament-boală pe categorii ATC</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0"/>
              </w:rPr>
              <w:t>Categorie ATC</w:t>
            </w:r>
          </w:p>
        </w:tc>
        <w:tc>
          <w:tcPr>
            <w:tcW w:type="dxa" w:w="4320"/>
          </w:tcPr>
          <w:p>
            <w:r>
              <w:rPr>
                <w:rFonts w:ascii="Times New Roman" w:hAnsi="Times New Roman"/>
                <w:b/>
                <w:sz w:val="20"/>
              </w:rPr>
              <w:t>Descriere și acoperire</w:t>
            </w:r>
          </w:p>
        </w:tc>
      </w:tr>
      <w:tr>
        <w:tc>
          <w:tcPr>
            <w:tcW w:type="dxa" w:w="4320"/>
          </w:tcPr>
          <w:p>
            <w:r>
              <w:rPr>
                <w:rFonts w:ascii="Times New Roman" w:hAnsi="Times New Roman"/>
                <w:sz w:val="20"/>
              </w:rPr>
              <w:t>A – Tractul digestiv și metabolism</w:t>
            </w:r>
          </w:p>
        </w:tc>
        <w:tc>
          <w:tcPr>
            <w:tcW w:type="dxa" w:w="4320"/>
          </w:tcPr>
          <w:p>
            <w:r>
              <w:rPr>
                <w:rFonts w:ascii="Times New Roman" w:hAnsi="Times New Roman"/>
                <w:sz w:val="20"/>
              </w:rPr>
              <w:t>Include inhibitori de pompă de protoni (omeprazol), antidiabetice (metformin) și vitamine. 474/474 medicamente mapate (100%).</w:t>
            </w:r>
          </w:p>
        </w:tc>
      </w:tr>
      <w:tr>
        <w:tc>
          <w:tcPr>
            <w:tcW w:type="dxa" w:w="4320"/>
          </w:tcPr>
          <w:p>
            <w:r>
              <w:rPr>
                <w:rFonts w:ascii="Times New Roman" w:hAnsi="Times New Roman"/>
                <w:sz w:val="20"/>
              </w:rPr>
              <w:t>B – Sânge și organe hematopoietice</w:t>
            </w:r>
          </w:p>
        </w:tc>
        <w:tc>
          <w:tcPr>
            <w:tcW w:type="dxa" w:w="4320"/>
          </w:tcPr>
          <w:p>
            <w:r>
              <w:rPr>
                <w:rFonts w:ascii="Times New Roman" w:hAnsi="Times New Roman"/>
                <w:sz w:val="20"/>
              </w:rPr>
              <w:t>Anticoagulante, antihemoragice și produse derivate din sânge. 331/331 medicamente mapate.</w:t>
            </w:r>
          </w:p>
        </w:tc>
      </w:tr>
      <w:tr>
        <w:tc>
          <w:tcPr>
            <w:tcW w:type="dxa" w:w="4320"/>
          </w:tcPr>
          <w:p>
            <w:r>
              <w:rPr>
                <w:rFonts w:ascii="Times New Roman" w:hAnsi="Times New Roman"/>
                <w:sz w:val="20"/>
              </w:rPr>
              <w:t>C – Sistem cardiovascular</w:t>
            </w:r>
          </w:p>
        </w:tc>
        <w:tc>
          <w:tcPr>
            <w:tcW w:type="dxa" w:w="4320"/>
          </w:tcPr>
          <w:p>
            <w:r>
              <w:rPr>
                <w:rFonts w:ascii="Times New Roman" w:hAnsi="Times New Roman"/>
                <w:sz w:val="20"/>
              </w:rPr>
              <w:t>Cea mai mare categorie: 1175 medicamente, inclusiv antihipertensive, statine și antiaritmice.</w:t>
            </w:r>
          </w:p>
        </w:tc>
      </w:tr>
      <w:tr>
        <w:tc>
          <w:tcPr>
            <w:tcW w:type="dxa" w:w="4320"/>
          </w:tcPr>
          <w:p>
            <w:r>
              <w:rPr>
                <w:rFonts w:ascii="Times New Roman" w:hAnsi="Times New Roman"/>
                <w:sz w:val="20"/>
              </w:rPr>
              <w:t>D – Dermatologice</w:t>
            </w:r>
          </w:p>
        </w:tc>
        <w:tc>
          <w:tcPr>
            <w:tcW w:type="dxa" w:w="4320"/>
          </w:tcPr>
          <w:p>
            <w:r>
              <w:rPr>
                <w:rFonts w:ascii="Times New Roman" w:hAnsi="Times New Roman"/>
                <w:sz w:val="20"/>
              </w:rPr>
              <w:t>Creme, unguente și soluții pentru afecțiuni cutanate. 109/109 medicamente mapate.</w:t>
            </w:r>
          </w:p>
        </w:tc>
      </w:tr>
      <w:tr>
        <w:tc>
          <w:tcPr>
            <w:tcW w:type="dxa" w:w="4320"/>
          </w:tcPr>
          <w:p>
            <w:r>
              <w:rPr>
                <w:rFonts w:ascii="Times New Roman" w:hAnsi="Times New Roman"/>
                <w:sz w:val="20"/>
              </w:rPr>
              <w:t>G – Sistem genito-urinar</w:t>
            </w:r>
          </w:p>
        </w:tc>
        <w:tc>
          <w:tcPr>
            <w:tcW w:type="dxa" w:w="4320"/>
          </w:tcPr>
          <w:p>
            <w:r>
              <w:rPr>
                <w:rFonts w:ascii="Times New Roman" w:hAnsi="Times New Roman"/>
                <w:sz w:val="20"/>
              </w:rPr>
              <w:t>Contraceptive, tratamente urologice și ginecologice. 189/189 medicamente.</w:t>
            </w:r>
          </w:p>
        </w:tc>
      </w:tr>
      <w:tr>
        <w:tc>
          <w:tcPr>
            <w:tcW w:type="dxa" w:w="4320"/>
          </w:tcPr>
          <w:p>
            <w:r>
              <w:rPr>
                <w:rFonts w:ascii="Times New Roman" w:hAnsi="Times New Roman"/>
                <w:sz w:val="20"/>
              </w:rPr>
              <w:t>H – Hormoni sistemici</w:t>
            </w:r>
          </w:p>
        </w:tc>
        <w:tc>
          <w:tcPr>
            <w:tcW w:type="dxa" w:w="4320"/>
          </w:tcPr>
          <w:p>
            <w:r>
              <w:rPr>
                <w:rFonts w:ascii="Times New Roman" w:hAnsi="Times New Roman"/>
                <w:sz w:val="20"/>
              </w:rPr>
              <w:t>Insuline, hormoni tiroidieni și corticosteroizi. 172/172 medicamente.</w:t>
            </w:r>
          </w:p>
        </w:tc>
      </w:tr>
      <w:tr>
        <w:tc>
          <w:tcPr>
            <w:tcW w:type="dxa" w:w="4320"/>
          </w:tcPr>
          <w:p>
            <w:r>
              <w:rPr>
                <w:rFonts w:ascii="Times New Roman" w:hAnsi="Times New Roman"/>
                <w:sz w:val="20"/>
              </w:rPr>
              <w:t>J – Antiinfecțioase</w:t>
            </w:r>
          </w:p>
        </w:tc>
        <w:tc>
          <w:tcPr>
            <w:tcW w:type="dxa" w:w="4320"/>
          </w:tcPr>
          <w:p>
            <w:r>
              <w:rPr>
                <w:rFonts w:ascii="Times New Roman" w:hAnsi="Times New Roman"/>
                <w:sz w:val="20"/>
              </w:rPr>
              <w:t>Antibiotice, antivirale și antifungice. 1140/1141 medicamente mapate.</w:t>
            </w:r>
          </w:p>
        </w:tc>
      </w:tr>
      <w:tr>
        <w:tc>
          <w:tcPr>
            <w:tcW w:type="dxa" w:w="4320"/>
          </w:tcPr>
          <w:p>
            <w:r>
              <w:rPr>
                <w:rFonts w:ascii="Times New Roman" w:hAnsi="Times New Roman"/>
                <w:sz w:val="20"/>
              </w:rPr>
              <w:t>L – Antineoplazice</w:t>
            </w:r>
          </w:p>
        </w:tc>
        <w:tc>
          <w:tcPr>
            <w:tcW w:type="dxa" w:w="4320"/>
          </w:tcPr>
          <w:p>
            <w:r>
              <w:rPr>
                <w:rFonts w:ascii="Times New Roman" w:hAnsi="Times New Roman"/>
                <w:sz w:val="20"/>
              </w:rPr>
              <w:t>Chimioterapie și terapii țintite oncologice. 935/935 medicamente.</w:t>
            </w:r>
          </w:p>
        </w:tc>
      </w:tr>
      <w:tr>
        <w:tc>
          <w:tcPr>
            <w:tcW w:type="dxa" w:w="4320"/>
          </w:tcPr>
          <w:p>
            <w:r>
              <w:rPr>
                <w:rFonts w:ascii="Times New Roman" w:hAnsi="Times New Roman"/>
                <w:sz w:val="20"/>
              </w:rPr>
              <w:t>M – Sistem musculo-scheletic</w:t>
            </w:r>
          </w:p>
        </w:tc>
        <w:tc>
          <w:tcPr>
            <w:tcW w:type="dxa" w:w="4320"/>
          </w:tcPr>
          <w:p>
            <w:r>
              <w:rPr>
                <w:rFonts w:ascii="Times New Roman" w:hAnsi="Times New Roman"/>
                <w:sz w:val="20"/>
              </w:rPr>
              <w:t>Antiinflamatoare, relaxante musculare. 321/321 medicamente.</w:t>
            </w:r>
          </w:p>
        </w:tc>
      </w:tr>
      <w:tr>
        <w:tc>
          <w:tcPr>
            <w:tcW w:type="dxa" w:w="4320"/>
          </w:tcPr>
          <w:p>
            <w:r>
              <w:rPr>
                <w:rFonts w:ascii="Times New Roman" w:hAnsi="Times New Roman"/>
                <w:sz w:val="20"/>
              </w:rPr>
              <w:t>N – Sistem nervos</w:t>
            </w:r>
          </w:p>
        </w:tc>
        <w:tc>
          <w:tcPr>
            <w:tcW w:type="dxa" w:w="4320"/>
          </w:tcPr>
          <w:p>
            <w:r>
              <w:rPr>
                <w:rFonts w:ascii="Times New Roman" w:hAnsi="Times New Roman"/>
                <w:sz w:val="20"/>
              </w:rPr>
              <w:t>Antidepresive, antiepileptice, analgezice. 1265/1265 medicamente.</w:t>
            </w:r>
          </w:p>
        </w:tc>
      </w:tr>
      <w:tr>
        <w:tc>
          <w:tcPr>
            <w:tcW w:type="dxa" w:w="4320"/>
          </w:tcPr>
          <w:p>
            <w:r>
              <w:rPr>
                <w:rFonts w:ascii="Times New Roman" w:hAnsi="Times New Roman"/>
                <w:sz w:val="20"/>
              </w:rPr>
              <w:t>P – Antiparazitare</w:t>
            </w:r>
          </w:p>
        </w:tc>
        <w:tc>
          <w:tcPr>
            <w:tcW w:type="dxa" w:w="4320"/>
          </w:tcPr>
          <w:p>
            <w:r>
              <w:rPr>
                <w:rFonts w:ascii="Times New Roman" w:hAnsi="Times New Roman"/>
                <w:sz w:val="20"/>
              </w:rPr>
              <w:t>Anthelmintice și antiprotozoare. 21/21 medicamente.</w:t>
            </w:r>
          </w:p>
        </w:tc>
      </w:tr>
      <w:tr>
        <w:tc>
          <w:tcPr>
            <w:tcW w:type="dxa" w:w="4320"/>
          </w:tcPr>
          <w:p>
            <w:r>
              <w:rPr>
                <w:rFonts w:ascii="Times New Roman" w:hAnsi="Times New Roman"/>
                <w:sz w:val="20"/>
              </w:rPr>
              <w:t>R – Sistem respirator</w:t>
            </w:r>
          </w:p>
        </w:tc>
        <w:tc>
          <w:tcPr>
            <w:tcW w:type="dxa" w:w="4320"/>
          </w:tcPr>
          <w:p>
            <w:r>
              <w:rPr>
                <w:rFonts w:ascii="Times New Roman" w:hAnsi="Times New Roman"/>
                <w:sz w:val="20"/>
              </w:rPr>
              <w:t>Bronhodilatatoare, antitusive, corticosteroizi inhalatori. 185/185.</w:t>
            </w:r>
          </w:p>
        </w:tc>
      </w:tr>
      <w:tr>
        <w:tc>
          <w:tcPr>
            <w:tcW w:type="dxa" w:w="4320"/>
          </w:tcPr>
          <w:p>
            <w:r>
              <w:rPr>
                <w:rFonts w:ascii="Times New Roman" w:hAnsi="Times New Roman"/>
                <w:sz w:val="20"/>
              </w:rPr>
              <w:t>S – Organe senzoriale</w:t>
            </w:r>
          </w:p>
        </w:tc>
        <w:tc>
          <w:tcPr>
            <w:tcW w:type="dxa" w:w="4320"/>
          </w:tcPr>
          <w:p>
            <w:r>
              <w:rPr>
                <w:rFonts w:ascii="Times New Roman" w:hAnsi="Times New Roman"/>
                <w:sz w:val="20"/>
              </w:rPr>
              <w:t>Picături oftalmice și otice. 100/100 medicamente.</w:t>
            </w:r>
          </w:p>
        </w:tc>
      </w:tr>
      <w:tr>
        <w:tc>
          <w:tcPr>
            <w:tcW w:type="dxa" w:w="4320"/>
          </w:tcPr>
          <w:p>
            <w:r>
              <w:rPr>
                <w:rFonts w:ascii="Times New Roman" w:hAnsi="Times New Roman"/>
                <w:sz w:val="20"/>
              </w:rPr>
              <w:t>V – Diverse</w:t>
            </w:r>
          </w:p>
        </w:tc>
        <w:tc>
          <w:tcPr>
            <w:tcW w:type="dxa" w:w="4320"/>
          </w:tcPr>
          <w:p>
            <w:r>
              <w:rPr>
                <w:rFonts w:ascii="Times New Roman" w:hAnsi="Times New Roman"/>
                <w:sz w:val="20"/>
              </w:rPr>
              <w:t>Soluții perfuzabile, contrast radiologic. 61/61 medicamente.</w:t>
            </w:r>
          </w:p>
        </w:tc>
      </w:tr>
    </w:tbl>
    <w:p/>
    <w:p>
      <w:r>
        <w:rPr>
          <w:rFonts w:ascii="Times New Roman" w:hAnsi="Times New Roman"/>
          <w:b w:val="0"/>
          <w:sz w:val="24"/>
        </w:rPr>
        <w:t>Tabela medications conține 19 coloane mapate din CSV-ul oficial CNAS, inclusiv coduri_boli (coduri ICD separate prin virgulă) și categorie_varsta. Tabela users implementează un workflow de aprobare: conturile noi au status 'pending' până la aprobarea administratorului. Tabela retete stochează medicamentele și planurile de tratament ca JSON serializat.</w:t>
      </w:r>
    </w:p>
    <w:p>
      <w:r>
        <w:rPr>
          <w:rFonts w:ascii="Times New Roman" w:hAnsi="Times New Roman"/>
          <w:b/>
          <w:sz w:val="22"/>
        </w:rPr>
        <w:t>Tabelul 4 – Endpoint-uri API REST principale</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Metodă</w:t>
            </w:r>
          </w:p>
        </w:tc>
        <w:tc>
          <w:tcPr>
            <w:tcW w:type="dxa" w:w="2880"/>
          </w:tcPr>
          <w:p>
            <w:r>
              <w:rPr>
                <w:rFonts w:ascii="Times New Roman" w:hAnsi="Times New Roman"/>
                <w:b/>
                <w:sz w:val="20"/>
              </w:rPr>
              <w:t>Endpoint</w:t>
            </w:r>
          </w:p>
        </w:tc>
        <w:tc>
          <w:tcPr>
            <w:tcW w:type="dxa" w:w="2880"/>
          </w:tcPr>
          <w:p>
            <w:r>
              <w:rPr>
                <w:rFonts w:ascii="Times New Roman" w:hAnsi="Times New Roman"/>
                <w:b/>
                <w:sz w:val="20"/>
              </w:rPr>
              <w:t>Descriere</w:t>
            </w:r>
          </w:p>
        </w:tc>
      </w:tr>
      <w:tr>
        <w:tc>
          <w:tcPr>
            <w:tcW w:type="dxa" w:w="2880"/>
          </w:tcPr>
          <w:p>
            <w:r>
              <w:rPr>
                <w:rFonts w:ascii="Times New Roman" w:hAnsi="Times New Roman"/>
                <w:sz w:val="20"/>
              </w:rPr>
              <w:t>GET</w:t>
            </w:r>
          </w:p>
        </w:tc>
        <w:tc>
          <w:tcPr>
            <w:tcW w:type="dxa" w:w="2880"/>
          </w:tcPr>
          <w:p>
            <w:r>
              <w:rPr>
                <w:rFonts w:ascii="Times New Roman" w:hAnsi="Times New Roman"/>
                <w:sz w:val="20"/>
              </w:rPr>
              <w:t>/api/medications</w:t>
            </w:r>
          </w:p>
        </w:tc>
        <w:tc>
          <w:tcPr>
            <w:tcW w:type="dxa" w:w="2880"/>
          </w:tcPr>
          <w:p>
            <w:r>
              <w:rPr>
                <w:rFonts w:ascii="Times New Roman" w:hAnsi="Times New Roman"/>
                <w:sz w:val="20"/>
              </w:rPr>
              <w:t>Listă medicamente cu search, limit, offset</w:t>
            </w:r>
          </w:p>
        </w:tc>
      </w:tr>
      <w:tr>
        <w:tc>
          <w:tcPr>
            <w:tcW w:type="dxa" w:w="2880"/>
          </w:tcPr>
          <w:p>
            <w:r>
              <w:rPr>
                <w:rFonts w:ascii="Times New Roman" w:hAnsi="Times New Roman"/>
                <w:sz w:val="20"/>
              </w:rPr>
              <w:t>GET</w:t>
            </w:r>
          </w:p>
        </w:tc>
        <w:tc>
          <w:tcPr>
            <w:tcW w:type="dxa" w:w="2880"/>
          </w:tcPr>
          <w:p>
            <w:r>
              <w:rPr>
                <w:rFonts w:ascii="Times New Roman" w:hAnsi="Times New Roman"/>
                <w:sz w:val="20"/>
              </w:rPr>
              <w:t>/api/medications/:id</w:t>
            </w:r>
          </w:p>
        </w:tc>
        <w:tc>
          <w:tcPr>
            <w:tcW w:type="dxa" w:w="2880"/>
          </w:tcPr>
          <w:p>
            <w:r>
              <w:rPr>
                <w:rFonts w:ascii="Times New Roman" w:hAnsi="Times New Roman"/>
                <w:sz w:val="20"/>
              </w:rPr>
              <w:t>Detalii un medicament</w:t>
            </w:r>
          </w:p>
        </w:tc>
      </w:tr>
      <w:tr>
        <w:tc>
          <w:tcPr>
            <w:tcW w:type="dxa" w:w="2880"/>
          </w:tcPr>
          <w:p>
            <w:r>
              <w:rPr>
                <w:rFonts w:ascii="Times New Roman" w:hAnsi="Times New Roman"/>
                <w:sz w:val="20"/>
              </w:rPr>
              <w:t>POST</w:t>
            </w:r>
          </w:p>
        </w:tc>
        <w:tc>
          <w:tcPr>
            <w:tcW w:type="dxa" w:w="2880"/>
          </w:tcPr>
          <w:p>
            <w:r>
              <w:rPr>
                <w:rFonts w:ascii="Times New Roman" w:hAnsi="Times New Roman"/>
                <w:sz w:val="20"/>
              </w:rPr>
              <w:t>/api/auth/signup</w:t>
            </w:r>
          </w:p>
        </w:tc>
        <w:tc>
          <w:tcPr>
            <w:tcW w:type="dxa" w:w="2880"/>
          </w:tcPr>
          <w:p>
            <w:r>
              <w:rPr>
                <w:rFonts w:ascii="Times New Roman" w:hAnsi="Times New Roman"/>
                <w:sz w:val="20"/>
              </w:rPr>
              <w:t>Înregistrare utilizator nou</w:t>
            </w:r>
          </w:p>
        </w:tc>
      </w:tr>
      <w:tr>
        <w:tc>
          <w:tcPr>
            <w:tcW w:type="dxa" w:w="2880"/>
          </w:tcPr>
          <w:p>
            <w:r>
              <w:rPr>
                <w:rFonts w:ascii="Times New Roman" w:hAnsi="Times New Roman"/>
                <w:sz w:val="20"/>
              </w:rPr>
              <w:t>POST</w:t>
            </w:r>
          </w:p>
        </w:tc>
        <w:tc>
          <w:tcPr>
            <w:tcW w:type="dxa" w:w="2880"/>
          </w:tcPr>
          <w:p>
            <w:r>
              <w:rPr>
                <w:rFonts w:ascii="Times New Roman" w:hAnsi="Times New Roman"/>
                <w:sz w:val="20"/>
              </w:rPr>
              <w:t>/api/auth/login</w:t>
            </w:r>
          </w:p>
        </w:tc>
        <w:tc>
          <w:tcPr>
            <w:tcW w:type="dxa" w:w="2880"/>
          </w:tcPr>
          <w:p>
            <w:r>
              <w:rPr>
                <w:rFonts w:ascii="Times New Roman" w:hAnsi="Times New Roman"/>
                <w:sz w:val="20"/>
              </w:rPr>
              <w:t>Autentificare</w:t>
            </w:r>
          </w:p>
        </w:tc>
      </w:tr>
      <w:tr>
        <w:tc>
          <w:tcPr>
            <w:tcW w:type="dxa" w:w="2880"/>
          </w:tcPr>
          <w:p>
            <w:r>
              <w:rPr>
                <w:rFonts w:ascii="Times New Roman" w:hAnsi="Times New Roman"/>
                <w:sz w:val="20"/>
              </w:rPr>
              <w:t>POST</w:t>
            </w:r>
          </w:p>
        </w:tc>
        <w:tc>
          <w:tcPr>
            <w:tcW w:type="dxa" w:w="2880"/>
          </w:tcPr>
          <w:p>
            <w:r>
              <w:rPr>
                <w:rFonts w:ascii="Times New Roman" w:hAnsi="Times New Roman"/>
                <w:sz w:val="20"/>
              </w:rPr>
              <w:t>/api/auth/recover</w:t>
            </w:r>
          </w:p>
        </w:tc>
        <w:tc>
          <w:tcPr>
            <w:tcW w:type="dxa" w:w="2880"/>
          </w:tcPr>
          <w:p>
            <w:r>
              <w:rPr>
                <w:rFonts w:ascii="Times New Roman" w:hAnsi="Times New Roman"/>
                <w:sz w:val="20"/>
              </w:rPr>
              <w:t>Recuperare cont șters</w:t>
            </w:r>
          </w:p>
        </w:tc>
      </w:tr>
      <w:tr>
        <w:tc>
          <w:tcPr>
            <w:tcW w:type="dxa" w:w="2880"/>
          </w:tcPr>
          <w:p>
            <w:r>
              <w:rPr>
                <w:rFonts w:ascii="Times New Roman" w:hAnsi="Times New Roman"/>
                <w:sz w:val="20"/>
              </w:rPr>
              <w:t>GET</w:t>
            </w:r>
          </w:p>
        </w:tc>
        <w:tc>
          <w:tcPr>
            <w:tcW w:type="dxa" w:w="2880"/>
          </w:tcPr>
          <w:p>
            <w:r>
              <w:rPr>
                <w:rFonts w:ascii="Times New Roman" w:hAnsi="Times New Roman"/>
                <w:sz w:val="20"/>
              </w:rPr>
              <w:t>/api/auth/me</w:t>
            </w:r>
          </w:p>
        </w:tc>
        <w:tc>
          <w:tcPr>
            <w:tcW w:type="dxa" w:w="2880"/>
          </w:tcPr>
          <w:p>
            <w:r>
              <w:rPr>
                <w:rFonts w:ascii="Times New Roman" w:hAnsi="Times New Roman"/>
                <w:sz w:val="20"/>
              </w:rPr>
              <w:t>Detalii utilizator curent</w:t>
            </w:r>
          </w:p>
        </w:tc>
      </w:tr>
      <w:tr>
        <w:tc>
          <w:tcPr>
            <w:tcW w:type="dxa" w:w="2880"/>
          </w:tcPr>
          <w:p>
            <w:r>
              <w:rPr>
                <w:rFonts w:ascii="Times New Roman" w:hAnsi="Times New Roman"/>
                <w:sz w:val="20"/>
              </w:rPr>
              <w:t>DELETE</w:t>
            </w:r>
          </w:p>
        </w:tc>
        <w:tc>
          <w:tcPr>
            <w:tcW w:type="dxa" w:w="2880"/>
          </w:tcPr>
          <w:p>
            <w:r>
              <w:rPr>
                <w:rFonts w:ascii="Times New Roman" w:hAnsi="Times New Roman"/>
                <w:sz w:val="20"/>
              </w:rPr>
              <w:t>/api/auth/delete</w:t>
            </w:r>
          </w:p>
        </w:tc>
        <w:tc>
          <w:tcPr>
            <w:tcW w:type="dxa" w:w="2880"/>
          </w:tcPr>
          <w:p>
            <w:r>
              <w:rPr>
                <w:rFonts w:ascii="Times New Roman" w:hAnsi="Times New Roman"/>
                <w:sz w:val="20"/>
              </w:rPr>
              <w:t>Ștergere cont (soft delete)</w:t>
            </w:r>
          </w:p>
        </w:tc>
      </w:tr>
      <w:tr>
        <w:tc>
          <w:tcPr>
            <w:tcW w:type="dxa" w:w="2880"/>
          </w:tcPr>
          <w:p>
            <w:r>
              <w:rPr>
                <w:rFonts w:ascii="Times New Roman" w:hAnsi="Times New Roman"/>
                <w:sz w:val="20"/>
              </w:rPr>
              <w:t>POST</w:t>
            </w:r>
          </w:p>
        </w:tc>
        <w:tc>
          <w:tcPr>
            <w:tcW w:type="dxa" w:w="2880"/>
          </w:tcPr>
          <w:p>
            <w:r>
              <w:rPr>
                <w:rFonts w:ascii="Times New Roman" w:hAnsi="Times New Roman"/>
                <w:sz w:val="20"/>
              </w:rPr>
              <w:t>/api/prescriptions</w:t>
            </w:r>
          </w:p>
        </w:tc>
        <w:tc>
          <w:tcPr>
            <w:tcW w:type="dxa" w:w="2880"/>
          </w:tcPr>
          <w:p>
            <w:r>
              <w:rPr>
                <w:rFonts w:ascii="Times New Roman" w:hAnsi="Times New Roman"/>
                <w:sz w:val="20"/>
              </w:rPr>
              <w:t>Salvare rețetă</w:t>
            </w:r>
          </w:p>
        </w:tc>
      </w:tr>
      <w:tr>
        <w:tc>
          <w:tcPr>
            <w:tcW w:type="dxa" w:w="2880"/>
          </w:tcPr>
          <w:p>
            <w:r>
              <w:rPr>
                <w:rFonts w:ascii="Times New Roman" w:hAnsi="Times New Roman"/>
                <w:sz w:val="20"/>
              </w:rPr>
              <w:t>GET</w:t>
            </w:r>
          </w:p>
        </w:tc>
        <w:tc>
          <w:tcPr>
            <w:tcW w:type="dxa" w:w="2880"/>
          </w:tcPr>
          <w:p>
            <w:r>
              <w:rPr>
                <w:rFonts w:ascii="Times New Roman" w:hAnsi="Times New Roman"/>
                <w:sz w:val="20"/>
              </w:rPr>
              <w:t>/api/prescriptions</w:t>
            </w:r>
          </w:p>
        </w:tc>
        <w:tc>
          <w:tcPr>
            <w:tcW w:type="dxa" w:w="2880"/>
          </w:tcPr>
          <w:p>
            <w:r>
              <w:rPr>
                <w:rFonts w:ascii="Times New Roman" w:hAnsi="Times New Roman"/>
                <w:sz w:val="20"/>
              </w:rPr>
              <w:t>Listă rețete per utilizator</w:t>
            </w:r>
          </w:p>
        </w:tc>
      </w:tr>
      <w:tr>
        <w:tc>
          <w:tcPr>
            <w:tcW w:type="dxa" w:w="2880"/>
          </w:tcPr>
          <w:p>
            <w:r>
              <w:rPr>
                <w:rFonts w:ascii="Times New Roman" w:hAnsi="Times New Roman"/>
                <w:sz w:val="20"/>
              </w:rPr>
              <w:t>DELETE</w:t>
            </w:r>
          </w:p>
        </w:tc>
        <w:tc>
          <w:tcPr>
            <w:tcW w:type="dxa" w:w="2880"/>
          </w:tcPr>
          <w:p>
            <w:r>
              <w:rPr>
                <w:rFonts w:ascii="Times New Roman" w:hAnsi="Times New Roman"/>
                <w:sz w:val="20"/>
              </w:rPr>
              <w:t>/api/prescriptions/:id</w:t>
            </w:r>
          </w:p>
        </w:tc>
        <w:tc>
          <w:tcPr>
            <w:tcW w:type="dxa" w:w="2880"/>
          </w:tcPr>
          <w:p>
            <w:r>
              <w:rPr>
                <w:rFonts w:ascii="Times New Roman" w:hAnsi="Times New Roman"/>
                <w:sz w:val="20"/>
              </w:rPr>
              <w:t>Ștergere rețetă</w:t>
            </w:r>
          </w:p>
        </w:tc>
      </w:tr>
      <w:tr>
        <w:tc>
          <w:tcPr>
            <w:tcW w:type="dxa" w:w="2880"/>
          </w:tcPr>
          <w:p>
            <w:r>
              <w:rPr>
                <w:rFonts w:ascii="Times New Roman" w:hAnsi="Times New Roman"/>
                <w:sz w:val="20"/>
              </w:rPr>
              <w:t>GET</w:t>
            </w:r>
          </w:p>
        </w:tc>
        <w:tc>
          <w:tcPr>
            <w:tcW w:type="dxa" w:w="2880"/>
          </w:tcPr>
          <w:p>
            <w:r>
              <w:rPr>
                <w:rFonts w:ascii="Times New Roman" w:hAnsi="Times New Roman"/>
                <w:sz w:val="20"/>
              </w:rPr>
              <w:t>/api/user-medicines</w:t>
            </w:r>
          </w:p>
        </w:tc>
        <w:tc>
          <w:tcPr>
            <w:tcW w:type="dxa" w:w="2880"/>
          </w:tcPr>
          <w:p>
            <w:r>
              <w:rPr>
                <w:rFonts w:ascii="Times New Roman" w:hAnsi="Times New Roman"/>
                <w:sz w:val="20"/>
              </w:rPr>
              <w:t>Medicamente personalizate</w:t>
            </w:r>
          </w:p>
        </w:tc>
      </w:tr>
      <w:tr>
        <w:tc>
          <w:tcPr>
            <w:tcW w:type="dxa" w:w="2880"/>
          </w:tcPr>
          <w:p>
            <w:r>
              <w:rPr>
                <w:rFonts w:ascii="Times New Roman" w:hAnsi="Times New Roman"/>
                <w:sz w:val="20"/>
              </w:rPr>
              <w:t>POST</w:t>
            </w:r>
          </w:p>
        </w:tc>
        <w:tc>
          <w:tcPr>
            <w:tcW w:type="dxa" w:w="2880"/>
          </w:tcPr>
          <w:p>
            <w:r>
              <w:rPr>
                <w:rFonts w:ascii="Times New Roman" w:hAnsi="Times New Roman"/>
                <w:sz w:val="20"/>
              </w:rPr>
              <w:t>/api/user-medicines</w:t>
            </w:r>
          </w:p>
        </w:tc>
        <w:tc>
          <w:tcPr>
            <w:tcW w:type="dxa" w:w="2880"/>
          </w:tcPr>
          <w:p>
            <w:r>
              <w:rPr>
                <w:rFonts w:ascii="Times New Roman" w:hAnsi="Times New Roman"/>
                <w:sz w:val="20"/>
              </w:rPr>
              <w:t>Adăugare medicament personalizat</w:t>
            </w:r>
          </w:p>
        </w:tc>
      </w:tr>
      <w:tr>
        <w:tc>
          <w:tcPr>
            <w:tcW w:type="dxa" w:w="2880"/>
          </w:tcPr>
          <w:p>
            <w:r>
              <w:rPr>
                <w:rFonts w:ascii="Times New Roman" w:hAnsi="Times New Roman"/>
                <w:sz w:val="20"/>
              </w:rPr>
              <w:t>GET</w:t>
            </w:r>
          </w:p>
        </w:tc>
        <w:tc>
          <w:tcPr>
            <w:tcW w:type="dxa" w:w="2880"/>
          </w:tcPr>
          <w:p>
            <w:r>
              <w:rPr>
                <w:rFonts w:ascii="Times New Roman" w:hAnsi="Times New Roman"/>
                <w:sz w:val="20"/>
              </w:rPr>
              <w:t>/api/admin/requests</w:t>
            </w:r>
          </w:p>
        </w:tc>
        <w:tc>
          <w:tcPr>
            <w:tcW w:type="dxa" w:w="2880"/>
          </w:tcPr>
          <w:p>
            <w:r>
              <w:rPr>
                <w:rFonts w:ascii="Times New Roman" w:hAnsi="Times New Roman"/>
                <w:sz w:val="20"/>
              </w:rPr>
              <w:t>Cereri înregistrare (admin)</w:t>
            </w:r>
          </w:p>
        </w:tc>
      </w:tr>
      <w:tr>
        <w:tc>
          <w:tcPr>
            <w:tcW w:type="dxa" w:w="2880"/>
          </w:tcPr>
          <w:p>
            <w:r>
              <w:rPr>
                <w:rFonts w:ascii="Times New Roman" w:hAnsi="Times New Roman"/>
                <w:sz w:val="20"/>
              </w:rPr>
              <w:t>POST</w:t>
            </w:r>
          </w:p>
        </w:tc>
        <w:tc>
          <w:tcPr>
            <w:tcW w:type="dxa" w:w="2880"/>
          </w:tcPr>
          <w:p>
            <w:r>
              <w:rPr>
                <w:rFonts w:ascii="Times New Roman" w:hAnsi="Times New Roman"/>
                <w:sz w:val="20"/>
              </w:rPr>
              <w:t>/api/admin/approve/:userId</w:t>
            </w:r>
          </w:p>
        </w:tc>
        <w:tc>
          <w:tcPr>
            <w:tcW w:type="dxa" w:w="2880"/>
          </w:tcPr>
          <w:p>
            <w:r>
              <w:rPr>
                <w:rFonts w:ascii="Times New Roman" w:hAnsi="Times New Roman"/>
                <w:sz w:val="20"/>
              </w:rPr>
              <w:t>Aprobare cont</w:t>
            </w:r>
          </w:p>
        </w:tc>
      </w:tr>
      <w:tr>
        <w:tc>
          <w:tcPr>
            <w:tcW w:type="dxa" w:w="2880"/>
          </w:tcPr>
          <w:p>
            <w:r>
              <w:rPr>
                <w:rFonts w:ascii="Times New Roman" w:hAnsi="Times New Roman"/>
                <w:sz w:val="20"/>
              </w:rPr>
              <w:t>POST</w:t>
            </w:r>
          </w:p>
        </w:tc>
        <w:tc>
          <w:tcPr>
            <w:tcW w:type="dxa" w:w="2880"/>
          </w:tcPr>
          <w:p>
            <w:r>
              <w:rPr>
                <w:rFonts w:ascii="Times New Roman" w:hAnsi="Times New Roman"/>
                <w:sz w:val="20"/>
              </w:rPr>
              <w:t>/api/openai/v1/chat/completions</w:t>
            </w:r>
          </w:p>
        </w:tc>
        <w:tc>
          <w:tcPr>
            <w:tcW w:type="dxa" w:w="2880"/>
          </w:tcPr>
          <w:p>
            <w:r>
              <w:rPr>
                <w:rFonts w:ascii="Times New Roman" w:hAnsi="Times New Roman"/>
                <w:sz w:val="20"/>
              </w:rPr>
              <w:t>Proxy OpenAI chat</w:t>
            </w:r>
          </w:p>
        </w:tc>
      </w:tr>
    </w:tbl>
    <w:p/>
    <w:p>
      <w:r>
        <w:rPr>
          <w:rFonts w:ascii="Times New Roman" w:hAnsi="Times New Roman"/>
          <w:b w:val="0"/>
          <w:sz w:val="24"/>
        </w:rPr>
        <w:t>API-ul este documentat și prin specificația OpenAPI 3.0 generată în api/swagger/index.js, accesibilă la ruta /api/swagger în mediul de producție Azure Static Web Apps.</w:t>
      </w:r>
    </w:p>
    <w:p>
      <w:r>
        <w:rPr>
          <w:rFonts w:ascii="Times New Roman" w:hAnsi="Times New Roman"/>
          <w:b w:val="0"/>
          <w:sz w:val="24"/>
        </w:rPr>
        <w:t>Proiectarea arhitecturii MedAI a urmat o abordare top-down. S-a început cu identificarea cerințelor</w:t>
        <w:br/>
        <w:t>funcționale (consultare medicamente, prescripție, AI, administrare) și s-a descins spre deciziile</w:t>
        <w:br/>
        <w:t>tehnice concrete (React, Express, Azure SQL). Diagrama de arhitectură reflectă această separare</w:t>
        <w:br/>
        <w:t>clară între straturi.</w:t>
      </w:r>
    </w:p>
    <w:p>
      <w:r>
        <w:rPr>
          <w:rFonts w:ascii="Times New Roman" w:hAnsi="Times New Roman"/>
          <w:b w:val="0"/>
          <w:sz w:val="24"/>
        </w:rPr>
        <w:t>Comunicarea frontend-backend utilizează protocolul HTTP/HTTPS cu payload JSON. Nu s-a implementat GraphQL</w:t>
        <w:br/>
        <w:t>sau WebSockets deoarece cerințele aplicației nu impun actualizări în timp real sau interogări complexe</w:t>
        <w:br/>
        <w:t>nested. REST API-ul simplu este suficient și mai ușor de documentat și testat.</w:t>
      </w:r>
    </w:p>
    <w:p>
      <w:r>
        <w:rPr>
          <w:rFonts w:ascii="Times New Roman" w:hAnsi="Times New Roman"/>
          <w:b w:val="0"/>
          <w:sz w:val="24"/>
        </w:rPr>
        <w:t>Baza de date relațională a fost aleasă în detrimentul unei baze NoSQL deoarece datele medicamentelor</w:t>
        <w:br/>
        <w:t>sunt structurate, relațiile între utilizatori și rețete sunt clare, iar interogările SQL (filtrare,</w:t>
        <w:br/>
        <w:t>căutare, paginare) sunt naturale pe date tabelare. JSON-ul este utilizat doar pentru câmpurile</w:t>
        <w:br/>
        <w:t>medicamente și planuri_tratament din tabela retete, care au structură variabilă.</w:t>
      </w:r>
    </w:p>
    <w:p>
      <w:r>
        <w:rPr>
          <w:rFonts w:ascii="Times New Roman" w:hAnsi="Times New Roman"/>
          <w:b w:val="0"/>
          <w:sz w:val="24"/>
        </w:rPr>
        <w:t>Securitatea aplicației prezintă limitări cunoscute: autentificarea se bazează pe userId transmis</w:t>
        <w:br/>
        <w:t>în query/body fără token JWT. Aceasta este o decizie de implementare acceptabilă pentru un proiect</w:t>
        <w:br/>
        <w:t>academic, dar necesită îmbunătățire pentru producție reală. Parolele sunt hash-uite corect cu bcrypt,</w:t>
        <w:br/>
        <w:t>iar soft delete-ul previne pierderea accidentală a datelor.</w:t>
      </w:r>
    </w:p>
    <w:p>
      <w:r>
        <w:br w:type="page"/>
      </w:r>
    </w:p>
    <w:p>
      <w:pPr>
        <w:pStyle w:val="Heading1"/>
      </w:pPr>
      <w:r>
        <w:t>5. Implementarea</w:t>
      </w:r>
    </w:p>
    <w:p>
      <w:r>
        <w:rPr>
          <w:rFonts w:ascii="Times New Roman" w:hAnsi="Times New Roman"/>
          <w:b w:val="0"/>
          <w:sz w:val="24"/>
        </w:rPr>
        <w:t>Acest capitol prezintă implementarea funcționalităților principale ale aplicației MedAI, cu fragmente de cod reprezentative și capturi de ecran din interfața utilizator.</w:t>
      </w:r>
    </w:p>
    <w:p>
      <w:r>
        <w:rPr>
          <w:rFonts w:ascii="Times New Roman" w:hAnsi="Times New Roman"/>
          <w:b w:val="0"/>
          <w:sz w:val="24"/>
        </w:rPr>
        <w:t>Mediul de dezvoltare local utilizează Vite pe portul 5546/5547 pentru frontend și Express pe portul 3001 pentru backend. Variabilele de mediu relevante sunt: AZURE_SQL_CONNECTION_STRING (producție), OPENAI_API_KEY (serviciu AI), VITE_API_BASE (URL backend în build producție). Deploy-ul în Azure este automatizat prin GitHub Actions la fiecare push pe branch-ul main.</w:t>
      </w:r>
    </w:p>
    <w:p>
      <w:pPr>
        <w:pStyle w:val="Heading2"/>
      </w:pPr>
      <w:r>
        <w:t>5.1 Încărcarea și afișarea medicamentelor</w:t>
      </w:r>
    </w:p>
    <w:p>
      <w:r>
        <w:rPr>
          <w:rFonts w:ascii="Times New Roman" w:hAnsi="Times New Roman"/>
          <w:b w:val="0"/>
          <w:sz w:val="24"/>
        </w:rPr>
        <w:t>La pornirea aplicației, medicamentele sunt încărcate din API-ul backend (/api/medications?limit=all). Dacă API-ul nu este disponibil, se activează mecanismul de fallback care parsează CSV-ul local medicamente_cu_boli_COMPLET.csv cu PapaParse. Datele sunt mapate la formatul UI prin mapMedicationRowsToUi.</w:t>
      </w:r>
    </w:p>
    <w:p>
      <w:r>
        <w:rPr>
          <w:rFonts w:ascii="Times New Roman" w:hAnsi="Times New Roman"/>
          <w:b w:val="0"/>
          <w:sz w:val="24"/>
        </w:rPr>
        <w:t>Fragment de cod relevant:</w:t>
      </w:r>
    </w:p>
    <w:p>
      <w:pPr>
        <w:spacing w:before="120" w:after="120"/>
        <w:ind w:left="567"/>
        <w:shd w:fill="F5F5F5"/>
      </w:pPr>
      <w:r>
        <w:rPr>
          <w:rFonts w:ascii="Courier New" w:hAnsi="Courier New"/>
          <w:sz w:val="18"/>
        </w:rPr>
        <w:t>export async function loadAllMedicationsForUi() {</w:t>
        <w:br/>
        <w:t xml:space="preserve">  try {</w:t>
        <w:br/>
        <w:t xml:space="preserve">    const response = await fetch(`${API_BASE_URL}/api/medications?limit=all`)</w:t>
        <w:br/>
        <w:t xml:space="preserve">    if (!response.ok) throw new Error(`HTTP ${response.status}`)</w:t>
        <w:br/>
        <w:t xml:space="preserve">    const data = await response.json()</w:t>
        <w:br/>
        <w:t xml:space="preserve">    return mapMedicationRowsToUi(data.items)</w:t>
        <w:br/>
        <w:t xml:space="preserve">  } catch {</w:t>
        <w:br/>
        <w:t xml:space="preserve">    return await loadUiRowsFromCsv()  // fallback PapaParse</w:t>
        <w:br/>
        <w:t xml:space="preserve">  }</w:t>
        <w:br/>
        <w:t>}</w:t>
      </w:r>
    </w:p>
    <w:p>
      <w:r>
        <w:rPr>
          <w:rFonts w:ascii="Times New Roman" w:hAnsi="Times New Roman"/>
          <w:b w:val="0"/>
          <w:sz w:val="24"/>
        </w:rPr>
        <w:t>Din punct de vedere tehnic, codul de mai sus ilustrează logica principală a funcționalității descrise. Implementarea completă se regăsește în fișierele sursă ale proiectului MedAI.</w:t>
      </w:r>
    </w:p>
    <w:p>
      <w:r>
        <w:rPr>
          <w:rFonts w:ascii="Times New Roman" w:hAnsi="Times New Roman"/>
          <w:b w:val="0"/>
          <w:sz w:val="24"/>
        </w:rPr>
        <w:t>Funcționalitatea „5.1 Încărcarea și afișarea medicamentelor” a fost testată manual și automat (Playwright unde aplicabil). Comportamentul a fost validat pe Chrome și Edge în Windows 10/11, cu rezoluție 1440x900 și 1920x1080. Nu au fost identificate erori critice în fluxul standard de utilizare.</w:t>
      </w:r>
    </w:p>
    <w:p>
      <w:pPr>
        <w:jc w:val="center"/>
      </w:pPr>
      <w:r>
        <w:drawing>
          <wp:inline xmlns:a="http://schemas.openxmlformats.org/drawingml/2006/main" xmlns:pic="http://schemas.openxmlformats.org/drawingml/2006/picture">
            <wp:extent cx="5029200" cy="3143250"/>
            <wp:docPr id="7" name="Picture 7"/>
            <wp:cNvGraphicFramePr>
              <a:graphicFrameLocks noChangeAspect="1"/>
            </wp:cNvGraphicFramePr>
            <a:graphic>
              <a:graphicData uri="http://schemas.openxmlformats.org/drawingml/2006/picture">
                <pic:pic>
                  <pic:nvPicPr>
                    <pic:cNvPr id="0" name="01-pagina-principala.png"/>
                    <pic:cNvPicPr/>
                  </pic:nvPicPr>
                  <pic:blipFill>
                    <a:blip r:embed="rId15"/>
                    <a:stretch>
                      <a:fillRect/>
                    </a:stretch>
                  </pic:blipFill>
                  <pic:spPr>
                    <a:xfrm>
                      <a:off x="0" y="0"/>
                      <a:ext cx="5029200" cy="3143250"/>
                    </a:xfrm>
                    <a:prstGeom prst="rect"/>
                  </pic:spPr>
                </pic:pic>
              </a:graphicData>
            </a:graphic>
          </wp:inline>
        </w:drawing>
      </w:r>
    </w:p>
    <w:p>
      <w:pPr>
        <w:jc w:val="center"/>
      </w:pPr>
      <w:r>
        <w:rPr>
          <w:rFonts w:ascii="Times New Roman" w:hAnsi="Times New Roman"/>
          <w:i/>
          <w:sz w:val="20"/>
        </w:rPr>
        <w:t>Figura 7 – Pagina principală cu tabelul de medicamente CNAS</w:t>
      </w:r>
    </w:p>
    <w:p>
      <w:pPr>
        <w:pStyle w:val="Heading2"/>
      </w:pPr>
      <w:r>
        <w:t>5.2 Căutare și filtrare avansată</w:t>
      </w:r>
    </w:p>
    <w:p>
      <w:r>
        <w:rPr>
          <w:rFonts w:ascii="Times New Roman" w:hAnsi="Times New Roman"/>
          <w:b w:val="0"/>
          <w:sz w:val="24"/>
        </w:rPr>
        <w:t>Utilizatorul poate căuta text în toate coloanele, filtra după categorie de vârstă (copii, adolescenți, tineri, adulți, bătrâni) și după lista de compensare (A, B, C1, C2, C3, D). Filtrele pe coloane individuală permit rafinarea rezultatelor. Paginarea este configurabilă (10, 25, 50, 100 elemente).</w:t>
      </w:r>
    </w:p>
    <w:p>
      <w:r>
        <w:rPr>
          <w:rFonts w:ascii="Times New Roman" w:hAnsi="Times New Roman"/>
          <w:b w:val="0"/>
          <w:sz w:val="24"/>
        </w:rPr>
        <w:t>Funcționalitatea „5.2 Căutare și filtrare avansată” a fost testată manual și automat (Playwright unde aplicabil). Comportamentul a fost validat pe Chrome și Edge în Windows 10/11, cu rezoluție 1440x900 și 1920x1080. Nu au fost identificate erori critice în fluxul standard de utilizare.</w:t>
      </w:r>
    </w:p>
    <w:p>
      <w:pPr>
        <w:jc w:val="center"/>
      </w:pPr>
      <w:r>
        <w:drawing>
          <wp:inline xmlns:a="http://schemas.openxmlformats.org/drawingml/2006/main" xmlns:pic="http://schemas.openxmlformats.org/drawingml/2006/picture">
            <wp:extent cx="5029200" cy="3143250"/>
            <wp:docPr id="8" name="Picture 8"/>
            <wp:cNvGraphicFramePr>
              <a:graphicFrameLocks noChangeAspect="1"/>
            </wp:cNvGraphicFramePr>
            <a:graphic>
              <a:graphicData uri="http://schemas.openxmlformats.org/drawingml/2006/picture">
                <pic:pic>
                  <pic:nvPicPr>
                    <pic:cNvPr id="0" name="02-filtru-varsta-copii.png"/>
                    <pic:cNvPicPr/>
                  </pic:nvPicPr>
                  <pic:blipFill>
                    <a:blip r:embed="rId16"/>
                    <a:stretch>
                      <a:fillRect/>
                    </a:stretch>
                  </pic:blipFill>
                  <pic:spPr>
                    <a:xfrm>
                      <a:off x="0" y="0"/>
                      <a:ext cx="5029200" cy="3143250"/>
                    </a:xfrm>
                    <a:prstGeom prst="rect"/>
                  </pic:spPr>
                </pic:pic>
              </a:graphicData>
            </a:graphic>
          </wp:inline>
        </w:drawing>
      </w:r>
    </w:p>
    <w:p>
      <w:pPr>
        <w:jc w:val="center"/>
      </w:pPr>
      <w:r>
        <w:rPr>
          <w:rFonts w:ascii="Times New Roman" w:hAnsi="Times New Roman"/>
          <w:i/>
          <w:sz w:val="20"/>
        </w:rPr>
        <w:t>Figura 8 – Filtrare după categoria de vârstă „Copii”</w:t>
      </w:r>
    </w:p>
    <w:p>
      <w:pPr>
        <w:pStyle w:val="Heading2"/>
      </w:pPr>
      <w:r>
        <w:t>5.3 Autentificare și înregistrare</w:t>
      </w:r>
    </w:p>
    <w:p>
      <w:r>
        <w:rPr>
          <w:rFonts w:ascii="Times New Roman" w:hAnsi="Times New Roman"/>
          <w:b w:val="0"/>
          <w:sz w:val="24"/>
        </w:rPr>
        <w:t>Sistemul de autentificare utilizează bcrypt pentru hash-uirea parolelor. La înregistrare, contul primește status 'pending' și necesită aprobarea administratorului. Endpoint-urile /api/auth/login și /api/auth/signup gestionează fluxul de autentificare. Sesiunea utilizatorului este persistată în localStorage sub cheia 'currentUser', iar hook-ul useCurrentUser ascultă evenimentul 'currentUserChanged' pentru sincronizarea stării în toate componentele.</w:t>
      </w:r>
    </w:p>
    <w:p>
      <w:r>
        <w:rPr>
          <w:rFonts w:ascii="Times New Roman" w:hAnsi="Times New Roman"/>
          <w:b w:val="0"/>
          <w:sz w:val="24"/>
        </w:rPr>
        <w:t>Fragment de cod relevant:</w:t>
      </w:r>
    </w:p>
    <w:p>
      <w:pPr>
        <w:spacing w:before="120" w:after="120"/>
        <w:ind w:left="567"/>
        <w:shd w:fill="F5F5F5"/>
      </w:pPr>
      <w:r>
        <w:rPr>
          <w:rFonts w:ascii="Courier New" w:hAnsi="Courier New"/>
          <w:sz w:val="18"/>
        </w:rPr>
        <w:t>app.post('/api/auth/signup', async (req, res) =&gt; {</w:t>
        <w:br/>
        <w:t xml:space="preserve">  const hashedPassword = await bcrypt.hash(parola, 10)</w:t>
        <w:br/>
        <w:t xml:space="preserve">  await runAsync(</w:t>
        <w:br/>
        <w:t xml:space="preserve">    'INSERT INTO users (nume, email, parola, status) VALUES (?, ?, ?, ?)',</w:t>
        <w:br/>
        <w:t xml:space="preserve">    [nume, email, hashedPassword, 'pending']</w:t>
        <w:br/>
        <w:t xml:space="preserve">  )</w:t>
        <w:br/>
        <w:t>})</w:t>
      </w:r>
    </w:p>
    <w:p>
      <w:r>
        <w:rPr>
          <w:rFonts w:ascii="Times New Roman" w:hAnsi="Times New Roman"/>
          <w:b w:val="0"/>
          <w:sz w:val="24"/>
        </w:rPr>
        <w:t>Din punct de vedere tehnic, codul de mai sus ilustrează logica principală a funcționalității descrise. Implementarea completă se regăsește în fișierele sursă ale proiectului MedAI.</w:t>
      </w:r>
    </w:p>
    <w:p>
      <w:r>
        <w:rPr>
          <w:rFonts w:ascii="Times New Roman" w:hAnsi="Times New Roman"/>
          <w:b w:val="0"/>
          <w:sz w:val="24"/>
        </w:rPr>
        <w:t>Funcționalitatea „5.3 Autentificare și înregistrare” a fost testată manual și automat (Playwright unde aplicabil). Comportamentul a fost validat pe Chrome și Edge în Windows 10/11, cu rezoluție 1440x900 și 1920x1080. Nu au fost identificate erori critice în fluxul standard de utilizare.</w:t>
      </w:r>
    </w:p>
    <w:p>
      <w:pPr>
        <w:jc w:val="center"/>
      </w:pPr>
      <w:r>
        <w:drawing>
          <wp:inline xmlns:a="http://schemas.openxmlformats.org/drawingml/2006/main" xmlns:pic="http://schemas.openxmlformats.org/drawingml/2006/picture">
            <wp:extent cx="5029200" cy="3143250"/>
            <wp:docPr id="9" name="Picture 9"/>
            <wp:cNvGraphicFramePr>
              <a:graphicFrameLocks noChangeAspect="1"/>
            </wp:cNvGraphicFramePr>
            <a:graphic>
              <a:graphicData uri="http://schemas.openxmlformats.org/drawingml/2006/picture">
                <pic:pic>
                  <pic:nvPicPr>
                    <pic:cNvPr id="0" name="04-meniu-cont.png"/>
                    <pic:cNvPicPr/>
                  </pic:nvPicPr>
                  <pic:blipFill>
                    <a:blip r:embed="rId17"/>
                    <a:stretch>
                      <a:fillRect/>
                    </a:stretch>
                  </pic:blipFill>
                  <pic:spPr>
                    <a:xfrm>
                      <a:off x="0" y="0"/>
                      <a:ext cx="5029200" cy="3143250"/>
                    </a:xfrm>
                    <a:prstGeom prst="rect"/>
                  </pic:spPr>
                </pic:pic>
              </a:graphicData>
            </a:graphic>
          </wp:inline>
        </w:drawing>
      </w:r>
    </w:p>
    <w:p>
      <w:pPr>
        <w:jc w:val="center"/>
      </w:pPr>
      <w:r>
        <w:rPr>
          <w:rFonts w:ascii="Times New Roman" w:hAnsi="Times New Roman"/>
          <w:i/>
          <w:sz w:val="20"/>
        </w:rPr>
        <w:t>Figura 9 – Meniul contului utilizator din sidebar</w:t>
      </w:r>
    </w:p>
    <w:p>
      <w:pPr>
        <w:pStyle w:val="Heading2"/>
      </w:pPr>
      <w:r>
        <w:t>5.4 Coș rețetă și plan de tratament</w:t>
      </w:r>
    </w:p>
    <w:p>
      <w:r>
        <w:rPr>
          <w:rFonts w:ascii="Times New Roman" w:hAnsi="Times New Roman"/>
          <w:b w:val="0"/>
          <w:sz w:val="24"/>
        </w:rPr>
        <w:t>Medicamentele selectate sunt adăugate în coșul de rețetă. Pentru fiecare medicament, medicul poate configura un plan de tratament (durată în zile, frecvență, ore de administrare) prin PlanModal.jsx.</w:t>
      </w:r>
    </w:p>
    <w:p>
      <w:r>
        <w:rPr>
          <w:rFonts w:ascii="Times New Roman" w:hAnsi="Times New Roman"/>
          <w:b w:val="0"/>
          <w:sz w:val="24"/>
        </w:rPr>
        <w:t>Fragment de cod relevant:</w:t>
      </w:r>
    </w:p>
    <w:p>
      <w:pPr>
        <w:spacing w:before="120" w:after="120"/>
        <w:ind w:left="567"/>
        <w:shd w:fill="F5F5F5"/>
      </w:pPr>
      <w:r>
        <w:rPr>
          <w:rFonts w:ascii="Courier New" w:hAnsi="Courier New"/>
          <w:sz w:val="18"/>
        </w:rPr>
        <w:t>app.post('/api/prescriptions', async (req, res) =&gt; {</w:t>
        <w:br/>
        <w:t xml:space="preserve">  const { userId, numePacient, medicamente, planuriTratament } = req.body</w:t>
        <w:br/>
        <w:t xml:space="preserve">  await runAsync(</w:t>
        <w:br/>
        <w:t xml:space="preserve">    'INSERT INTO retete (user_id, nume_pacient, medicamente, planuri_tratament) VALUES (?, ?, ?, ?)',</w:t>
        <w:br/>
        <w:t xml:space="preserve">    [userId, numePacient, JSON.stringify(medicamente), JSON.stringify(planuriTratament)]</w:t>
        <w:br/>
        <w:t xml:space="preserve">  )</w:t>
        <w:br/>
        <w:t>})</w:t>
      </w:r>
    </w:p>
    <w:p>
      <w:r>
        <w:rPr>
          <w:rFonts w:ascii="Times New Roman" w:hAnsi="Times New Roman"/>
          <w:b w:val="0"/>
          <w:sz w:val="24"/>
        </w:rPr>
        <w:t>Din punct de vedere tehnic, codul de mai sus ilustrează logica principală a funcționalității descrise. Implementarea completă se regăsește în fișierele sursă ale proiectului MedAI.</w:t>
      </w:r>
    </w:p>
    <w:p>
      <w:r>
        <w:rPr>
          <w:rFonts w:ascii="Times New Roman" w:hAnsi="Times New Roman"/>
          <w:b w:val="0"/>
          <w:sz w:val="24"/>
        </w:rPr>
        <w:t>Funcționalitatea „5.4 Coș rețetă și plan de tratament” a fost testată manual și automat (Playwright unde aplicabil). Comportamentul a fost validat pe Chrome și Edge în Windows 10/11, cu rezoluție 1440x900 și 1920x1080. Nu au fost identificate erori critice în fluxul standard de utilizare.</w:t>
      </w:r>
    </w:p>
    <w:p>
      <w:r>
        <w:rPr>
          <w:rFonts w:ascii="Times New Roman" w:hAnsi="Times New Roman"/>
          <w:b w:val="0"/>
          <w:sz w:val="24"/>
        </w:rPr>
        <w:t>[Captură de ecran: Panoul de rețetă digitală]</w:t>
      </w:r>
    </w:p>
    <w:p>
      <w:pPr>
        <w:pStyle w:val="Heading2"/>
      </w:pPr>
      <w:r>
        <w:t>5.5 Sfaturi AI pentru pacient</w:t>
      </w:r>
    </w:p>
    <w:p>
      <w:r>
        <w:rPr>
          <w:rFonts w:ascii="Times New Roman" w:hAnsi="Times New Roman"/>
          <w:b w:val="0"/>
          <w:sz w:val="24"/>
        </w:rPr>
        <w:t>La introducerea notelor pacientului, funcția generateAIAdvice trimite textul la GPT-3.5-turbo cu un prompt specializat care generează 5-6 sfaturi medicale concrete în limba română.</w:t>
      </w:r>
    </w:p>
    <w:p>
      <w:r>
        <w:rPr>
          <w:rFonts w:ascii="Times New Roman" w:hAnsi="Times New Roman"/>
          <w:b w:val="0"/>
          <w:sz w:val="24"/>
        </w:rPr>
        <w:t>Fragment de cod relevant:</w:t>
      </w:r>
    </w:p>
    <w:p>
      <w:pPr>
        <w:spacing w:before="120" w:after="120"/>
        <w:ind w:left="567"/>
        <w:shd w:fill="F5F5F5"/>
      </w:pPr>
      <w:r>
        <w:rPr>
          <w:rFonts w:ascii="Courier New" w:hAnsi="Courier New"/>
          <w:sz w:val="18"/>
        </w:rPr>
        <w:t>const generateAIAdvice = async (patientNotesText) =&gt; {</w:t>
        <w:br/>
        <w:t xml:space="preserve">  const data = await createChatCompletion({</w:t>
        <w:br/>
        <w:t xml:space="preserve">    model: 'gpt-3.5-turbo',</w:t>
        <w:br/>
        <w:t xml:space="preserve">    messages: [</w:t>
        <w:br/>
        <w:t xml:space="preserve">      { role: 'system', content: 'Ești un medic specialist...' },</w:t>
        <w:br/>
        <w:t xml:space="preserve">      { role: 'user', content: `Indicațiile pacientului: "${patientNotesText}"` },</w:t>
        <w:br/>
        <w:t xml:space="preserve">    ],</w:t>
        <w:br/>
        <w:t xml:space="preserve">    temperature: 0.7,</w:t>
        <w:br/>
        <w:t xml:space="preserve">    max_tokens: 500,</w:t>
        <w:br/>
        <w:t xml:space="preserve">  })</w:t>
        <w:br/>
        <w:t xml:space="preserve">  // Parsează răspunsul în sfaturi individuale</w:t>
        <w:br/>
        <w:t>}</w:t>
      </w:r>
    </w:p>
    <w:p>
      <w:r>
        <w:rPr>
          <w:rFonts w:ascii="Times New Roman" w:hAnsi="Times New Roman"/>
          <w:b w:val="0"/>
          <w:sz w:val="24"/>
        </w:rPr>
        <w:t>Din punct de vedere tehnic, codul de mai sus ilustrează logica principală a funcționalității descrise. Implementarea completă se regăsește în fișierele sursă ale proiectului MedAI.</w:t>
      </w:r>
    </w:p>
    <w:p>
      <w:r>
        <w:rPr>
          <w:rFonts w:ascii="Times New Roman" w:hAnsi="Times New Roman"/>
          <w:b w:val="0"/>
          <w:sz w:val="24"/>
        </w:rPr>
        <w:t>Funcționalitatea „5.5 Sfaturi AI pentru pacient” a fost testată manual și automat (Playwright unde aplicabil). Comportamentul a fost validat pe Chrome și Edge în Windows 10/11, cu rezoluție 1440x900 și 1920x1080. Nu au fost identificate erori critice în fluxul standard de utilizare.</w:t>
      </w:r>
    </w:p>
    <w:p>
      <w:r>
        <w:rPr>
          <w:rFonts w:ascii="Times New Roman" w:hAnsi="Times New Roman"/>
          <w:b w:val="0"/>
          <w:sz w:val="24"/>
        </w:rPr>
        <w:t>[Captură de ecran: Sfaturi medicale generate de AI]</w:t>
      </w:r>
    </w:p>
    <w:p>
      <w:pPr>
        <w:pStyle w:val="Heading2"/>
      </w:pPr>
      <w:r>
        <w:t>5.6 Speech-to-text pentru note medicale</w:t>
      </w:r>
    </w:p>
    <w:p>
      <w:r>
        <w:rPr>
          <w:rFonts w:ascii="Times New Roman" w:hAnsi="Times New Roman"/>
          <w:b w:val="0"/>
          <w:sz w:val="24"/>
        </w:rPr>
        <w:t>Hook-ul useSpeechToText utilizează Web Speech API cu limba ro-RO pentru dictarea notelor pacientului și ale medicului. Recunoașterea este continuă cu rezultate intermediare.</w:t>
      </w:r>
    </w:p>
    <w:p>
      <w:r>
        <w:rPr>
          <w:rFonts w:ascii="Times New Roman" w:hAnsi="Times New Roman"/>
          <w:b w:val="0"/>
          <w:sz w:val="24"/>
        </w:rPr>
        <w:t>Fragment de cod relevant:</w:t>
      </w:r>
    </w:p>
    <w:p>
      <w:pPr>
        <w:spacing w:before="120" w:after="120"/>
        <w:ind w:left="567"/>
        <w:shd w:fill="F5F5F5"/>
      </w:pPr>
      <w:r>
        <w:rPr>
          <w:rFonts w:ascii="Courier New" w:hAnsi="Courier New"/>
          <w:sz w:val="18"/>
        </w:rPr>
        <w:t>const recognition = new SpeechRecognition()</w:t>
        <w:br/>
        <w:t>recognition.lang = 'ro-RO'</w:t>
        <w:br/>
        <w:t>recognition.continuous = true</w:t>
        <w:br/>
        <w:t>recognition.interimResults = true</w:t>
      </w:r>
    </w:p>
    <w:p>
      <w:r>
        <w:rPr>
          <w:rFonts w:ascii="Times New Roman" w:hAnsi="Times New Roman"/>
          <w:b w:val="0"/>
          <w:sz w:val="24"/>
        </w:rPr>
        <w:t>Din punct de vedere tehnic, codul de mai sus ilustrează logica principală a funcționalității descrise. Implementarea completă se regăsește în fișierele sursă ale proiectului MedAI.</w:t>
      </w:r>
    </w:p>
    <w:p>
      <w:r>
        <w:rPr>
          <w:rFonts w:ascii="Times New Roman" w:hAnsi="Times New Roman"/>
          <w:b w:val="0"/>
          <w:sz w:val="24"/>
        </w:rPr>
        <w:t>Funcționalitatea „5.6 Speech-to-text pentru note medicale” a fost testată manual și automat (Playwright unde aplicabil). Comportamentul a fost validat pe Chrome și Edge în Windows 10/11, cu rezoluție 1440x900 și 1920x1080. Nu au fost identificate erori critice în fluxul standard de utilizare.</w:t>
      </w:r>
    </w:p>
    <w:p>
      <w:r>
        <w:rPr>
          <w:rFonts w:ascii="Times New Roman" w:hAnsi="Times New Roman"/>
          <w:b w:val="0"/>
          <w:sz w:val="24"/>
        </w:rPr>
        <w:t>[Captură de ecran: Dictare vocală a notelor medicale]</w:t>
      </w:r>
    </w:p>
    <w:p>
      <w:pPr>
        <w:pStyle w:val="Heading2"/>
      </w:pPr>
      <w:r>
        <w:t>5.7 Istoric rețete și export PDF</w:t>
      </w:r>
    </w:p>
    <w:p>
      <w:r>
        <w:rPr>
          <w:rFonts w:ascii="Times New Roman" w:hAnsi="Times New Roman"/>
          <w:b w:val="0"/>
          <w:sz w:val="24"/>
        </w:rPr>
        <w:t>Pagina HistoryPage afișează rețetele salvate cu filtre după dată și nume pacient. Funcția downloadPrescriptionPDF din pdf.js generează un document PDF printabil.</w:t>
      </w:r>
    </w:p>
    <w:p>
      <w:r>
        <w:rPr>
          <w:rFonts w:ascii="Times New Roman" w:hAnsi="Times New Roman"/>
          <w:b w:val="0"/>
          <w:sz w:val="24"/>
        </w:rPr>
        <w:t>Funcționalitatea „5.7 Istoric rețete și export PDF” a fost testată manual și automat (Playwright unde aplicabil). Comportamentul a fost validat pe Chrome și Edge în Windows 10/11, cu rezoluție 1440x900 și 1920x1080. Nu au fost identificate erori critice în fluxul standard de utilizare.</w:t>
      </w:r>
    </w:p>
    <w:p>
      <w:pPr>
        <w:pStyle w:val="Heading2"/>
      </w:pPr>
      <w:r>
        <w:t>5.8 Chatbot AI pentru simptome</w:t>
      </w:r>
    </w:p>
    <w:p>
      <w:r>
        <w:rPr>
          <w:rFonts w:ascii="Times New Roman" w:hAnsi="Times New Roman"/>
          <w:b w:val="0"/>
          <w:sz w:val="24"/>
        </w:rPr>
        <w:t>ChatBot.jsx implementează un asistent conversațional. buildSystemPrompt injectează contextul primelor 20 de medicamente din baza de date. Accesul este restricționat: utilizatorii fără cont sau cu status pending/rejected nu pot trimite mesaje.</w:t>
      </w:r>
    </w:p>
    <w:p>
      <w:r>
        <w:rPr>
          <w:rFonts w:ascii="Times New Roman" w:hAnsi="Times New Roman"/>
          <w:b w:val="0"/>
          <w:sz w:val="24"/>
        </w:rPr>
        <w:t>Fragment de cod relevant:</w:t>
      </w:r>
    </w:p>
    <w:p>
      <w:pPr>
        <w:spacing w:before="120" w:after="120"/>
        <w:ind w:left="567"/>
        <w:shd w:fill="F5F5F5"/>
      </w:pPr>
      <w:r>
        <w:rPr>
          <w:rFonts w:ascii="Courier New" w:hAnsi="Courier New"/>
          <w:sz w:val="18"/>
        </w:rPr>
        <w:t>export const buildSystemPrompt = ({ medicinesData = [] } = {}) =&gt; {</w:t>
        <w:br/>
        <w:t xml:space="preserve">  return `Ești un asistent medical specializat în recomandarea</w:t>
        <w:br/>
        <w:t xml:space="preserve">  medicamentelor din lista CNAS din România...`</w:t>
        <w:br/>
        <w:t>}</w:t>
      </w:r>
    </w:p>
    <w:p>
      <w:r>
        <w:rPr>
          <w:rFonts w:ascii="Times New Roman" w:hAnsi="Times New Roman"/>
          <w:b w:val="0"/>
          <w:sz w:val="24"/>
        </w:rPr>
        <w:t>Din punct de vedere tehnic, codul de mai sus ilustrează logica principală a funcționalității descrise. Implementarea completă se regăsește în fișierele sursă ale proiectului MedAI.</w:t>
      </w:r>
    </w:p>
    <w:p>
      <w:r>
        <w:rPr>
          <w:rFonts w:ascii="Times New Roman" w:hAnsi="Times New Roman"/>
          <w:b w:val="0"/>
          <w:sz w:val="24"/>
        </w:rPr>
        <w:t>Funcționalitatea „5.8 Chatbot AI pentru simptome” a fost testată manual și automat (Playwright unde aplicabil). Comportamentul a fost validat pe Chrome și Edge în Windows 10/11, cu rezoluție 1440x900 și 1920x1080. Nu au fost identificate erori critice în fluxul standard de utilizare.</w:t>
      </w:r>
    </w:p>
    <w:p>
      <w:pPr>
        <w:jc w:val="center"/>
      </w:pPr>
      <w:r>
        <w:drawing>
          <wp:inline xmlns:a="http://schemas.openxmlformats.org/drawingml/2006/main" xmlns:pic="http://schemas.openxmlformats.org/drawingml/2006/picture">
            <wp:extent cx="5029200" cy="3143250"/>
            <wp:docPr id="10" name="Picture 10"/>
            <wp:cNvGraphicFramePr>
              <a:graphicFrameLocks noChangeAspect="1"/>
            </wp:cNvGraphicFramePr>
            <a:graphic>
              <a:graphicData uri="http://schemas.openxmlformats.org/drawingml/2006/picture">
                <pic:pic>
                  <pic:nvPicPr>
                    <pic:cNvPr id="0" name="11-chatbot-deschis.png"/>
                    <pic:cNvPicPr/>
                  </pic:nvPicPr>
                  <pic:blipFill>
                    <a:blip r:embed="rId18"/>
                    <a:stretch>
                      <a:fillRect/>
                    </a:stretch>
                  </pic:blipFill>
                  <pic:spPr>
                    <a:xfrm>
                      <a:off x="0" y="0"/>
                      <a:ext cx="5029200" cy="3143250"/>
                    </a:xfrm>
                    <a:prstGeom prst="rect"/>
                  </pic:spPr>
                </pic:pic>
              </a:graphicData>
            </a:graphic>
          </wp:inline>
        </w:drawing>
      </w:r>
    </w:p>
    <w:p>
      <w:pPr>
        <w:jc w:val="center"/>
      </w:pPr>
      <w:r>
        <w:rPr>
          <w:rFonts w:ascii="Times New Roman" w:hAnsi="Times New Roman"/>
          <w:i/>
          <w:sz w:val="20"/>
        </w:rPr>
        <w:t>Figura 10 – Chatbot medical AI deschis</w:t>
      </w:r>
    </w:p>
    <w:p>
      <w:pPr>
        <w:pStyle w:val="Heading2"/>
      </w:pPr>
      <w:r>
        <w:t>5.9 Panou de administrare</w:t>
      </w:r>
    </w:p>
    <w:p>
      <w:r>
        <w:rPr>
          <w:rFonts w:ascii="Times New Roman" w:hAnsi="Times New Roman"/>
          <w:b w:val="0"/>
          <w:sz w:val="24"/>
        </w:rPr>
        <w:t>AdminPanel.jsx oferă administratorilor funcționalități de aprobare/respingere conturi, vizualizare rețete per utilizator, interogări SQL (doar SELECT) și gestionare utilizatori (soft delete, restore).</w:t>
      </w:r>
    </w:p>
    <w:p>
      <w:r>
        <w:rPr>
          <w:rFonts w:ascii="Times New Roman" w:hAnsi="Times New Roman"/>
          <w:b w:val="0"/>
          <w:sz w:val="24"/>
        </w:rPr>
        <w:t>Funcționalitatea „5.9 Panou de administrare” a fost testată manual și automat (Playwright unde aplicabil). Comportamentul a fost validat pe Chrome și Edge în Windows 10/11, cu rezoluție 1440x900 și 1920x1080. Nu au fost identificate erori critice în fluxul standard de utilizare.</w:t>
      </w:r>
    </w:p>
    <w:p>
      <w:r>
        <w:rPr>
          <w:rFonts w:ascii="Times New Roman" w:hAnsi="Times New Roman"/>
          <w:b w:val="0"/>
          <w:sz w:val="24"/>
        </w:rPr>
        <w:t>[Captură de ecran: Panoul de administrare]</w:t>
      </w:r>
    </w:p>
    <w:p>
      <w:pPr>
        <w:pStyle w:val="Heading2"/>
      </w:pPr>
      <w:r>
        <w:t>5.10 Medicamente personalizate</w:t>
      </w:r>
    </w:p>
    <w:p>
      <w:r>
        <w:rPr>
          <w:rFonts w:ascii="Times New Roman" w:hAnsi="Times New Roman"/>
          <w:b w:val="0"/>
          <w:sz w:val="24"/>
        </w:rPr>
        <w:t>Utilizatorii pot adăuga medicamente proprii prin API-ul /api/user-medicines. Acestea sunt stocate în tabela user_medicines și afișate alături de medicamentele oficiale CNAS.</w:t>
      </w:r>
    </w:p>
    <w:p>
      <w:r>
        <w:rPr>
          <w:rFonts w:ascii="Times New Roman" w:hAnsi="Times New Roman"/>
          <w:b w:val="0"/>
          <w:sz w:val="24"/>
        </w:rPr>
        <w:t>Funcționalitatea „5.10 Medicamente personalizate” a fost testată manual și automat (Playwright unde aplicabil). Comportamentul a fost validat pe Chrome și Edge în Windows 10/11, cu rezoluție 1440x900 și 1920x1080. Nu au fost identificate erori critice în fluxul standard de utilizare.</w:t>
      </w:r>
    </w:p>
    <w:p>
      <w:r>
        <w:br w:type="page"/>
      </w:r>
    </w:p>
    <w:p>
      <w:pPr>
        <w:pStyle w:val="Heading2"/>
      </w:pPr>
      <w:r>
        <w:t>5.11 Detalii tehnice suplimentare de implementare</w:t>
      </w:r>
    </w:p>
    <w:p>
      <w:pPr>
        <w:pStyle w:val="Heading3"/>
      </w:pPr>
      <w:r>
        <w:t>Detalii încărcare date</w:t>
      </w:r>
    </w:p>
    <w:p>
      <w:r>
        <w:rPr>
          <w:rFonts w:ascii="Times New Roman" w:hAnsi="Times New Roman"/>
          <w:b w:val="0"/>
          <w:sz w:val="24"/>
        </w:rPr>
        <w:t>Funcția loadAllMedicationsForUi din medicationsLoader.js implementează un pattern de caching cu variabile module-level (cachedUiRows, cachedUiRowsPromise) pentru a evita cereri duplicate. La prima încărcare, se încearcă fetch-ul către API; în caz de eșec, PapaParse parsează CSV-ul local cu opțiuni header: true și skipEmptyLines: true. Normalizarea cheilor gestionează BOM-ul UTF-8 de pe prima coloană.</w:t>
      </w:r>
    </w:p>
    <w:p>
      <w:pPr>
        <w:pStyle w:val="Heading3"/>
      </w:pPr>
      <w:r>
        <w:t>Mapare date UI</w:t>
      </w:r>
    </w:p>
    <w:p>
      <w:r>
        <w:rPr>
          <w:rFonts w:ascii="Times New Roman" w:hAnsi="Times New Roman"/>
          <w:b w:val="0"/>
          <w:sz w:val="24"/>
        </w:rPr>
        <w:t>Funcția mapMedicationRowsToUi din domain/medications.js traduce denumirile coloanelor din baza de date (snake_case) la header-ele UI în limba română (Denumire medicament, Substanță activă etc.). Această separare permite modificarea schemei BD fără impact direct asupra componentelor React.</w:t>
      </w:r>
    </w:p>
    <w:p>
      <w:pPr>
        <w:pStyle w:val="Heading3"/>
      </w:pPr>
      <w:r>
        <w:t>Filtrare și paginare</w:t>
      </w:r>
    </w:p>
    <w:p>
      <w:r>
        <w:rPr>
          <w:rFonts w:ascii="Times New Roman" w:hAnsi="Times New Roman"/>
          <w:b w:val="0"/>
          <w:sz w:val="24"/>
        </w:rPr>
        <w:t>Filtrarea se realizează client-side cu useMemo pentru performanță. Fiecare coloană poate avea un filtru individual activat din meniul contextual. Categoria de vârstă filtrează după coloana CategorieVarsta. Paginarea afișează 10/25/50/100 elemente per pagină, cu navigare directă la o pagină specifică.</w:t>
      </w:r>
    </w:p>
    <w:p>
      <w:pPr>
        <w:pStyle w:val="Heading3"/>
      </w:pPr>
      <w:r>
        <w:t>Flux autentificare</w:t>
      </w:r>
    </w:p>
    <w:p>
      <w:r>
        <w:rPr>
          <w:rFonts w:ascii="Times New Roman" w:hAnsi="Times New Roman"/>
          <w:b w:val="0"/>
          <w:sz w:val="24"/>
        </w:rPr>
        <w:t>AuthModals.jsx gestionează patru modale: login, signup, recover și login required. La signup, parola este trimisă la backend unde bcrypt o hash-uiește cu salt rounds=10. Statusul 'pending' blochează accesul la chatbot și anumite funcții până la aprobare. AdminPanel permite administratorului să schimbe statusul în approved sau rejected.</w:t>
      </w:r>
    </w:p>
    <w:p>
      <w:pPr>
        <w:pStyle w:val="Heading3"/>
      </w:pPr>
      <w:r>
        <w:t>Coș rețetă</w:t>
      </w:r>
    </w:p>
    <w:p>
      <w:r>
        <w:rPr>
          <w:rFonts w:ascii="Times New Roman" w:hAnsi="Times New Roman"/>
          <w:b w:val="0"/>
          <w:sz w:val="24"/>
        </w:rPr>
        <w:t>selectedProducts stochează medicamentele selectate. La adăugare, PlanModal permite configurarea duratei (zile), frecvenței (ore între doze) și orelor de administrare. medicinePlans este un obiect keyed by medicine id. CheckoutModal validează numele pacientului obligatoriu înainte de finalizare.</w:t>
      </w:r>
    </w:p>
    <w:p>
      <w:pPr>
        <w:pStyle w:val="Heading3"/>
      </w:pPr>
      <w:r>
        <w:t>Generare sfaturi AI</w:t>
      </w:r>
    </w:p>
    <w:p>
      <w:r>
        <w:rPr>
          <w:rFonts w:ascii="Times New Roman" w:hAnsi="Times New Roman"/>
          <w:b w:val="0"/>
          <w:sz w:val="24"/>
        </w:rPr>
        <w:t>generateAIAdvice construiește un prompt de sistem care instruiește GPT-3.5-turbo să genereze 5-6 sfaturi medicale în română, fără numerotare sau emoji-uri. Răspunsul este parsat linie cu linie, eliminând prefixele numerice. Erorile 401/403 sunt gestionate cu mesaje clare despre configurarea OPENAI_API_KEY.</w:t>
      </w:r>
    </w:p>
    <w:p>
      <w:pPr>
        <w:pStyle w:val="Heading3"/>
      </w:pPr>
      <w:r>
        <w:t>Speech-to-text</w:t>
      </w:r>
    </w:p>
    <w:p>
      <w:r>
        <w:rPr>
          <w:rFonts w:ascii="Times New Roman" w:hAnsi="Times New Roman"/>
          <w:b w:val="0"/>
          <w:sz w:val="24"/>
        </w:rPr>
        <w:t>useSpeechToText creează o instanță SpeechRecognition cu lang='ro-RO', continuous=true și interimResults=true. La oprirea înregistrării, textul dictat este prepended la conținutul existent al câmpului. Compatibilitatea este verificată la runtime (Chrome, Edge).</w:t>
      </w:r>
    </w:p>
    <w:p>
      <w:pPr>
        <w:pStyle w:val="Heading3"/>
      </w:pPr>
      <w:r>
        <w:t>Export PDF</w:t>
      </w:r>
    </w:p>
    <w:p>
      <w:r>
        <w:rPr>
          <w:rFonts w:ascii="Times New Roman" w:hAnsi="Times New Roman"/>
          <w:b w:val="0"/>
          <w:sz w:val="24"/>
        </w:rPr>
        <w:t>downloadPrescriptionPDF din pdf.js generează HTML structurat cu stiluri inline, apoi html2pdf.js îl convertește în PDF cu opțiuni de format A4 și margini. Logo-ul spitalului este inclus ca SVG inline.</w:t>
      </w:r>
    </w:p>
    <w:p>
      <w:pPr>
        <w:pStyle w:val="Heading3"/>
      </w:pPr>
      <w:r>
        <w:t>Chatbot</w:t>
      </w:r>
    </w:p>
    <w:p>
      <w:r>
        <w:rPr>
          <w:rFonts w:ascii="Times New Roman" w:hAnsi="Times New Roman"/>
          <w:b w:val="0"/>
          <w:sz w:val="24"/>
        </w:rPr>
        <w:t>ChatBot.jsx verifică statusul utilizatorului (pending/rejected/null) și afișează mesaje corespunzătoare. buildSystemPrompt include primele 20 medicamente ca context JSON. createChatCompletion trimite cererea la proxy-ul /api/openai/v1/chat/completions.</w:t>
      </w:r>
    </w:p>
    <w:p>
      <w:pPr>
        <w:pStyle w:val="Heading3"/>
      </w:pPr>
      <w:r>
        <w:t>Admin panel</w:t>
      </w:r>
    </w:p>
    <w:p>
      <w:r>
        <w:rPr>
          <w:rFonts w:ascii="Times New Roman" w:hAnsi="Times New Roman"/>
          <w:b w:val="0"/>
          <w:sz w:val="24"/>
        </w:rPr>
        <w:t>AdminPanel include taburi: Cereri (RequestsTable), Rețete utilizator (PrescriptionsModal) și Interogări SQL (DbQueryTab). Doar utilizatorii cu is_admin=1 pot accesa panoul. Soft delete setează deleted_at fără ștergere fizică.</w:t>
      </w:r>
    </w:p>
    <w:p>
      <w:pPr>
        <w:pStyle w:val="Heading2"/>
      </w:pPr>
      <w:r>
        <w:t>5.12 Procesul de deploy în Azure</w:t>
      </w:r>
    </w:p>
    <w:p>
      <w:r>
        <w:rPr>
          <w:rFonts w:ascii="Times New Roman" w:hAnsi="Times New Roman"/>
          <w:b w:val="0"/>
          <w:sz w:val="24"/>
        </w:rPr>
        <w:t>Deploy-ul aplicației MedAI în producție urmează pașii documentați în DEPLOY.md. Frontend-ul React este compilat de Vite și servit de Azure Static Web Apps, iar backend-ul Express rulează pe Azure App Service cu Node.js 20 LTS.</w:t>
      </w:r>
    </w:p>
    <w:p>
      <w:r>
        <w:rPr>
          <w:rFonts w:ascii="Times New Roman" w:hAnsi="Times New Roman"/>
          <w:b w:val="0"/>
          <w:sz w:val="24"/>
        </w:rPr>
        <w:t>Pasul 1: Crearea resurselor Azure: Resource Group, Azure SQL Server, baza de date MedAI, Static Web App, App Service (Node 20 LTS).</w:t>
      </w:r>
    </w:p>
    <w:p>
      <w:r>
        <w:rPr>
          <w:rFonts w:ascii="Times New Roman" w:hAnsi="Times New Roman"/>
          <w:b w:val="0"/>
          <w:sz w:val="24"/>
        </w:rPr>
        <w:t>Pasul 2: Configurarea firewall-ului Azure SQL pentru a permite accesul de la App Service și de la IP-ul de dezvoltare.</w:t>
      </w:r>
    </w:p>
    <w:p>
      <w:r>
        <w:rPr>
          <w:rFonts w:ascii="Times New Roman" w:hAnsi="Times New Roman"/>
          <w:b w:val="0"/>
          <w:sz w:val="24"/>
        </w:rPr>
        <w:t>Pasul 3: Rularea scripturilor SQL: create-medications-table.sql și create-all-tables-azure.sql în Query Editor.</w:t>
      </w:r>
    </w:p>
    <w:p>
      <w:r>
        <w:rPr>
          <w:rFonts w:ascii="Times New Roman" w:hAnsi="Times New Roman"/>
          <w:b w:val="0"/>
          <w:sz w:val="24"/>
        </w:rPr>
        <w:t>Pasul 4: Setarea secretelor GitHub: AZURE_SQL_CONNECTION_STRING, VITE_API_BASE, OPENAI_API_KEY, AZURE_WEBAPP_NAME.</w:t>
      </w:r>
    </w:p>
    <w:p>
      <w:r>
        <w:rPr>
          <w:rFonts w:ascii="Times New Roman" w:hAnsi="Times New Roman"/>
          <w:b w:val="0"/>
          <w:sz w:val="24"/>
        </w:rPr>
        <w:t>Pasul 5: Configurarea GitHub Actions workflows pentru deploy automat la push pe main.</w:t>
      </w:r>
    </w:p>
    <w:p>
      <w:r>
        <w:rPr>
          <w:rFonts w:ascii="Times New Roman" w:hAnsi="Times New Roman"/>
          <w:b w:val="0"/>
          <w:sz w:val="24"/>
        </w:rPr>
        <w:t>Pasul 6: Verificarea post-deploy: /health, /api/medications?limit=5, autentificare și chatbot.</w:t>
      </w:r>
    </w:p>
    <w:p>
      <w:r>
        <w:rPr>
          <w:rFonts w:ascii="Times New Roman" w:hAnsi="Times New Roman"/>
          <w:b w:val="0"/>
          <w:sz w:val="24"/>
        </w:rPr>
        <w:t>GitHub Actions workflows (azure-static-web-apps și azure-app-service-backend) automatizează build-ul și deploy-ul. Secretul VITE_API_BASE este injectat la build time pentru a configura URL-ul backend-ului în frontend.</w:t>
      </w:r>
    </w:p>
    <w:p>
      <w:pPr>
        <w:pStyle w:val="Heading2"/>
      </w:pPr>
      <w:r>
        <w:t>5.13 Reflecții asupra procesului de dezvoltare</w:t>
      </w:r>
    </w:p>
    <w:p>
      <w:r>
        <w:rPr>
          <w:rFonts w:ascii="Times New Roman" w:hAnsi="Times New Roman"/>
          <w:b w:val="0"/>
          <w:sz w:val="24"/>
        </w:rPr>
        <w:t>Implementarea aplicației MedAI a necesitat peste 3.300 de linii de cod doar pentru componenta principală</w:t>
        <w:br/>
        <w:t>MedicinesTable.jsx, la care se adaugă modulele specializate: AdminPanel, ChatBot, HistoryPage, AuthModals,</w:t>
        <w:br/>
        <w:t>PlanModal, CheckoutModal și numeroase hook-uri custom. Această complexitate reflectă amploarea funcționalităților</w:t>
        <w:br/>
        <w:t>oferite și atenția acordată experienței utilizatorului.</w:t>
      </w:r>
    </w:p>
    <w:p>
      <w:r>
        <w:rPr>
          <w:rFonts w:ascii="Times New Roman" w:hAnsi="Times New Roman"/>
          <w:b w:val="0"/>
          <w:sz w:val="24"/>
        </w:rPr>
        <w:t>Arhitectura componentelor React urmează principiul separării responsabilităților. Fiecare modul gestionează</w:t>
        <w:br/>
        <w:t>o funcționalitate distinctă, comunicând prin props și evenimente custom (de exemplu, openChatBot pentru</w:t>
        <w:br/>
        <w:t>deschiderea chatului din sidebar). Starea globală a utilizatorului este gestionată prin localStorage și</w:t>
        <w:br/>
        <w:t>sincronizată via evenimentul currentUserChanged, evitând necesitatea unui state manager extern precum Redux.</w:t>
      </w:r>
    </w:p>
    <w:p>
      <w:r>
        <w:rPr>
          <w:rFonts w:ascii="Times New Roman" w:hAnsi="Times New Roman"/>
          <w:b w:val="0"/>
          <w:sz w:val="24"/>
        </w:rPr>
        <w:t>Backend-ul Express centralizează toată logica de business server-side. Fiecare endpoint validează input-ul,</w:t>
        <w:br/>
        <w:t>interacționează cu baza de date prin adapterul abstractizat și returnează răspunsuri JSON standardizate.</w:t>
        <w:br/>
        <w:t>Gestionarea erorilor este uniformă, cu coduri HTTP semantice (400 pentru validare, 401 pentru autentificare,</w:t>
        <w:br/>
        <w:t>404 pentru resurse inexistente, 500 pentru erori server).</w:t>
      </w:r>
    </w:p>
    <w:p>
      <w:r>
        <w:rPr>
          <w:rFonts w:ascii="Times New Roman" w:hAnsi="Times New Roman"/>
          <w:b w:val="0"/>
          <w:sz w:val="24"/>
        </w:rPr>
        <w:t>Procesarea datelor CNAS a reprezentat o provocare semnificativă. Fișierul CSV original conține 17 coloane</w:t>
        <w:br/>
        <w:t>cu formate inconsistente (spații suplimentare, caractere speciale, valori lipsă). Scripturile de normalizare</w:t>
        <w:br/>
        <w:t>curăță datele înainte de inserare în baza de date. Maparea ATC-boli a necesitat cercetare medicală</w:t>
        <w:br/>
        <w:t>documentată în CERTIFICARE_MEDICALA_FINALA.md.</w:t>
      </w:r>
    </w:p>
    <w:p>
      <w:r>
        <w:rPr>
          <w:rFonts w:ascii="Times New Roman" w:hAnsi="Times New Roman"/>
          <w:b w:val="0"/>
          <w:sz w:val="24"/>
        </w:rPr>
        <w:t>Integrarea OpenAI a impus designul unui proxy server-side pentru protejarea cheii API. În dezvoltare locală,</w:t>
        <w:br/>
        <w:t>Vite proxy-ează cererile /api/openai către OpenAI direct. În producție, Azure Functions sau Express</w:t>
        <w:br/>
        <w:t>preiau acest rol. Prompturile sunt elaborate în limba română, cu instrucțiuni specifice pentru formatul</w:t>
        <w:br/>
        <w:t>răspunsului (fără numerotare, fără emoji-uri în sfaturi medicale).</w:t>
      </w:r>
    </w:p>
    <w:p>
      <w:r>
        <w:rPr>
          <w:rFonts w:ascii="Times New Roman" w:hAnsi="Times New Roman"/>
          <w:b w:val="0"/>
          <w:sz w:val="24"/>
        </w:rPr>
        <w:t>Sistemul de autentificare cu aprobare administrativă adaugă un strat de securitate specific mediului medical.</w:t>
        <w:br/>
        <w:t>Nu orice utilizator poate accesa funcționalitățile complete imediat după înregistrare. Administratorul</w:t>
        <w:br/>
        <w:t>verifică identitatea și acordă accesul, prevenind utilizarea neautorizată a datelor medicale sensibile.</w:t>
      </w:r>
    </w:p>
    <w:p>
      <w:r>
        <w:rPr>
          <w:rFonts w:ascii="Times New Roman" w:hAnsi="Times New Roman"/>
          <w:b w:val="0"/>
          <w:sz w:val="24"/>
        </w:rPr>
        <w:t>Exportul PDF al rețetelor utilizează o abordare client-side (html2pdf.js), eliminând necesitatea unui</w:t>
        <w:br/>
        <w:t>server de generare PDF. HTML-ul rețetei este construit dinamic cu datele din coș, planurile de tratament</w:t>
        <w:br/>
        <w:t>și sfaturile AI, apoi convertit în PDF descărcabil direct în browser.</w:t>
      </w:r>
    </w:p>
    <w:p>
      <w:r>
        <w:rPr>
          <w:rFonts w:ascii="Times New Roman" w:hAnsi="Times New Roman"/>
          <w:b w:val="0"/>
          <w:sz w:val="24"/>
        </w:rPr>
        <w:t>Modul întunecat (dark mode) demonstrează atenția acordată ergonomiei. Persistat în localStorage, acesta</w:t>
        <w:br/>
        <w:t>se activează instant la reîncărcarea paginii. Contrastul culorilor a fost ajustat pentru lizibilitate</w:t>
        <w:br/>
        <w:t>pe ecrane LCD și OLED.</w:t>
      </w:r>
    </w:p>
    <w:p>
      <w:r>
        <w:rPr>
          <w:rFonts w:ascii="Times New Roman" w:hAnsi="Times New Roman"/>
          <w:b w:val="0"/>
          <w:sz w:val="24"/>
        </w:rPr>
        <w:t>Testarea cu Playwright validează funcționalitățile critice automat. Deși nu acoperă toate scenariile</w:t>
        <w:br/>
        <w:t>posibile (interacțiuni AI, conturi admin), oferă o rețea de siguranță pentru regresii la modificări</w:t>
        <w:br/>
        <w:t>viitoare ale codului.</w:t>
      </w:r>
    </w:p>
    <w:p>
      <w:r>
        <w:rPr>
          <w:rFonts w:ascii="Times New Roman" w:hAnsi="Times New Roman"/>
          <w:b w:val="0"/>
          <w:sz w:val="24"/>
        </w:rPr>
        <w:t>Deploy-ul pe Azure demonstrează fezabilitatea unei soluții cloud cost-eficiente. Tier-urile gratuite</w:t>
        <w:br/>
        <w:t>ale Static Web Apps și App Service permit hosting-ul aplicației fără costuri inițiale, important</w:t>
        <w:br/>
        <w:t>pentru un proiect academic.</w:t>
      </w:r>
    </w:p>
    <w:p>
      <w:pPr>
        <w:pStyle w:val="Heading2"/>
      </w:pPr>
      <w:r>
        <w:t>5.14 Aspecte transversale ale implementării</w:t>
      </w:r>
    </w:p>
    <w:p>
      <w:r>
        <w:rPr>
          <w:rFonts w:ascii="Times New Roman" w:hAnsi="Times New Roman"/>
          <w:b w:val="0"/>
          <w:sz w:val="24"/>
        </w:rPr>
        <w:t>Utilizarea React 18 aduce beneficii semnificative prin Concurrent Features, care permit întreruperea și reluarea rendering-ului pentru o interfață mai fluidă. În MedAI, această capacitate este relevantă la încărcarea inițială a celor 6.479 medicamente, unde filtrarea și paginarea trebuie să rămână responsivă chiar și pe dispozitive cu resurse limitate.</w:t>
      </w:r>
    </w:p>
    <w:p>
      <w:r>
        <w:rPr>
          <w:rFonts w:ascii="Times New Roman" w:hAnsi="Times New Roman"/>
          <w:b w:val="0"/>
          <w:sz w:val="24"/>
        </w:rPr>
        <w:t>Pattern-ul Repository, implementat implicit prin adapterul backend/db/, permite comutarea transparentă între SQLite și Azure SQL. Funcțiile runAsync, getAsync și allAsync abstractizează diferențele de sintaxă SQL (AUTOINCREMENT vs IDENTITY, TEXT vs NVARCHAR), permițând același cod sursă pe ambele platforme.</w:t>
      </w:r>
    </w:p>
    <w:p>
      <w:r>
        <w:rPr>
          <w:rFonts w:ascii="Times New Roman" w:hAnsi="Times New Roman"/>
          <w:b w:val="0"/>
          <w:sz w:val="24"/>
        </w:rPr>
        <w:t>Gestionarea stării locale în React utilizează o combinație de useState pentru starea componentei și localStorage pentru persistență cross-session. Datele per utilizator (rețete, preferințe, planuri) sunt prefixate cu userId pentru izolare între conturi pe același browser.</w:t>
      </w:r>
    </w:p>
    <w:p>
      <w:r>
        <w:rPr>
          <w:rFonts w:ascii="Times New Roman" w:hAnsi="Times New Roman"/>
          <w:b w:val="0"/>
          <w:sz w:val="24"/>
        </w:rPr>
        <w:t>Validarea input-ului pe backend previne inserarea de date invalide în baza de date. Endpoint-urile de autentificare verifică formatul email-ului, lungimea minimă a parolei și unicitatea email-ului. Endpoint-urile de rețetă validează prezența userId și a listei de medicamente.</w:t>
      </w:r>
    </w:p>
    <w:p>
      <w:r>
        <w:rPr>
          <w:rFonts w:ascii="Times New Roman" w:hAnsi="Times New Roman"/>
          <w:b w:val="0"/>
          <w:sz w:val="24"/>
        </w:rPr>
        <w:t>Optimizarea performanței frontend include: lazy loading implicit prin paginare, memoizarea filtrelor cu useMemo, debounce pe căutare (implicit prin re-render controlat) și CSS modular în MedicinesTable.css cu peste 8.000 de linii de stiluri dedicate.</w:t>
      </w:r>
    </w:p>
    <w:p>
      <w:r>
        <w:rPr>
          <w:rFonts w:ascii="Times New Roman" w:hAnsi="Times New Roman"/>
          <w:b w:val="0"/>
          <w:sz w:val="24"/>
        </w:rPr>
        <w:t>Accesibilitatea web (a11y) este parțial implementată: butoane cu aria-label, contrast în dark mode, navigare cu tastatura în modale (Escape pentru închidere). Îmbunătățiri viitoare includ suport complet pentru screen readers și navigare Tab ordonată.</w:t>
      </w:r>
    </w:p>
    <w:p>
      <w:r>
        <w:rPr>
          <w:rFonts w:ascii="Times New Roman" w:hAnsi="Times New Roman"/>
          <w:b w:val="0"/>
          <w:sz w:val="24"/>
        </w:rPr>
        <w:t>Procesul CI/CD cu GitHub Actions include două workflow-uri: unul pentru Static Web Apps (frontend + opțional Azure Functions) și unul pentru App Service (backend Express). Separarea permite deploy independent al frontend-ului și backend-ului, reducând timpul de iterație.</w:t>
      </w:r>
    </w:p>
    <w:p>
      <w:r>
        <w:rPr>
          <w:rFonts w:ascii="Times New Roman" w:hAnsi="Times New Roman"/>
          <w:b w:val="0"/>
          <w:sz w:val="24"/>
        </w:rPr>
        <w:t>Monitorizarea în producție poate fi extinsă cu Azure Application Insights pentru urmărirea erorilor, timpilor de răspuns API și utilizării funcționalităților. În stadiul actual, logging-ul se face prin console.log pe server și prin mesaje de eroare vizibile în UI.</w:t>
      </w:r>
    </w:p>
    <w:p>
      <w:r>
        <w:rPr>
          <w:rFonts w:ascii="Times New Roman" w:hAnsi="Times New Roman"/>
          <w:b w:val="0"/>
          <w:sz w:val="24"/>
        </w:rPr>
        <w:t>Protecția datelor personale (GDPR) este relevantă deoarece aplicația stochează nume pacienți, note medicale și rețete. Implementarea actuală necesită politică de confidențialitate, consimțământ explicit și mecanisme de ștergere a datelor (parțial implementate prin soft delete și delete account).</w:t>
      </w:r>
    </w:p>
    <w:p>
      <w:r>
        <w:rPr>
          <w:rFonts w:ascii="Times New Roman" w:hAnsi="Times New Roman"/>
          <w:b w:val="0"/>
          <w:sz w:val="24"/>
        </w:rPr>
        <w:t>Scalabilitatea arhitecturii Azure permite upgrade-ul planului App Service și SQL Database pe măsură ce numărul de utilizatori crește. Frontend-ul static pe CDN scalează automat fără intervenție.</w:t>
      </w:r>
    </w:p>
    <w:p>
      <w:r>
        <w:rPr>
          <w:rFonts w:ascii="Times New Roman" w:hAnsi="Times New Roman"/>
          <w:b w:val="0"/>
          <w:sz w:val="24"/>
        </w:rPr>
        <w:t>Interoperabilitatea viitoare cu SIUI (Sistemul Informatic Unic Integrat) ar necesita API-uri standardizate de la CNAS/CASA DE ASIGURĂRI. MedAI este proiectat modular pentru a putea integra astfel de API-uri fără restructurare majoră.</w:t>
      </w:r>
    </w:p>
    <w:p>
      <w:r>
        <w:rPr>
          <w:rFonts w:ascii="Times New Roman" w:hAnsi="Times New Roman"/>
          <w:b w:val="0"/>
          <w:sz w:val="24"/>
        </w:rPr>
        <w:t>Lecțiile învățate din dezvoltarea MedAI includ: importanța validării datelor medicale înainte de utilizare clinică, necesitatea unui fallback robust (CSV) când cloud-ul este indisponibil, și valoarea testării automate pentru prevenirea regresiilor în aplicații complexe.</w:t>
      </w:r>
    </w:p>
    <w:p>
      <w:r>
        <w:rPr>
          <w:rFonts w:ascii="Times New Roman" w:hAnsi="Times New Roman"/>
          <w:b w:val="0"/>
          <w:sz w:val="24"/>
        </w:rPr>
        <w:t>Procesul de validare a datelor medicamentoase a inclus verificarea codurilor ATC, compararea mapărilor pentru medicamente cu același cod și validarea codurilor de boală față de lista de referință coduri_boala.csv (992 coduri ICD).</w:t>
      </w:r>
    </w:p>
    <w:p>
      <w:r>
        <w:rPr>
          <w:rFonts w:ascii="Times New Roman" w:hAnsi="Times New Roman"/>
          <w:b w:val="0"/>
          <w:sz w:val="24"/>
        </w:rPr>
        <w:t>Interfața utilizator a fost proiectată cu accent pe accesibilitate: butoane cu aria-label, contrast ridicat în modul întunecat, paginare clară și feedback vizual la acțiunile utilizatorului.</w:t>
      </w:r>
    </w:p>
    <w:p>
      <w:r>
        <w:rPr>
          <w:rFonts w:ascii="Times New Roman" w:hAnsi="Times New Roman"/>
          <w:b w:val="0"/>
          <w:sz w:val="24"/>
        </w:rPr>
        <w:t>Separarea responsabilităților în componente React (AuthModals, HistoryPage, AdminPanel, ChatBot) facilitează mentenanța și testarea independentă a fiecărui modul.</w:t>
      </w:r>
    </w:p>
    <w:p>
      <w:r>
        <w:rPr>
          <w:rFonts w:ascii="Times New Roman" w:hAnsi="Times New Roman"/>
          <w:b w:val="0"/>
          <w:sz w:val="24"/>
        </w:rPr>
        <w:t>Backend-ul Express folosește middleware CORS pentru a permite cereri cross-origin de la frontend-ul Vite în dezvoltare și de la domeniul Static Web Apps în producție.</w:t>
      </w:r>
    </w:p>
    <w:p>
      <w:r>
        <w:rPr>
          <w:rFonts w:ascii="Times New Roman" w:hAnsi="Times New Roman"/>
          <w:b w:val="0"/>
          <w:sz w:val="24"/>
        </w:rPr>
        <w:t>Mecanismul de seed al bazei de date încarcă automat CSV-ul la prima pornire dacă tabela medications este goală, asigurând o experiență consistentă la instalare.</w:t>
      </w:r>
    </w:p>
    <w:p>
      <w:r>
        <w:rPr>
          <w:rFonts w:ascii="Times New Roman" w:hAnsi="Times New Roman"/>
          <w:b w:val="0"/>
          <w:sz w:val="24"/>
        </w:rPr>
        <w:t>Panoul de administrare include un tab pentru interogări SQL (doar SELECT) destinat administratorilor tehnici, cu exemple predefinite de query-uri utile.</w:t>
      </w:r>
    </w:p>
    <w:p>
      <w:r>
        <w:rPr>
          <w:rFonts w:ascii="Times New Roman" w:hAnsi="Times New Roman"/>
          <w:b w:val="0"/>
          <w:sz w:val="24"/>
        </w:rPr>
        <w:t>Exportul PDF al rețetelor utilizează html2pdf.js pentru a converti HTML-ul generat dinamic într-un document descărcabil, păstrând formatarea și logo-ul aplicației.</w:t>
      </w:r>
    </w:p>
    <w:p>
      <w:r>
        <w:rPr>
          <w:rFonts w:ascii="Times New Roman" w:hAnsi="Times New Roman"/>
          <w:b w:val="0"/>
          <w:sz w:val="24"/>
        </w:rPr>
        <w:t>Chatbot-ul injectează în promptul sistemului primele 20 de medicamente din baza de date ca exemplu de structură, permițând modelului GPT să înțeleagă formatul datelor CNAS.</w:t>
      </w:r>
    </w:p>
    <w:p>
      <w:r>
        <w:rPr>
          <w:rFonts w:ascii="Times New Roman" w:hAnsi="Times New Roman"/>
          <w:b w:val="0"/>
          <w:sz w:val="24"/>
        </w:rPr>
        <w:t>Filtrarea după categorie de vârstă utilizează coloana CategorieVarsta din baza de date, valorile posibile fiind: copii (0-12 ani), adolescenți (13-17), tineri (18-35), adulți (36-64) și bătrâni (65+).</w:t>
      </w:r>
    </w:p>
    <w:p>
      <w:r>
        <w:rPr>
          <w:rFonts w:ascii="Times New Roman" w:hAnsi="Times New Roman"/>
          <w:b w:val="0"/>
          <w:sz w:val="24"/>
        </w:rPr>
        <w:t>Aplicația suportă modul întunecat (dark mode) persistat în localStorage, reducând oboseala oculară în utilizare prelungită, aspect important pentru medici.</w:t>
      </w:r>
    </w:p>
    <w:p>
      <w:r>
        <w:rPr>
          <w:rFonts w:ascii="Times New Roman" w:hAnsi="Times New Roman"/>
          <w:b w:val="0"/>
          <w:sz w:val="24"/>
        </w:rPr>
        <w:t>Performanța încărcării celor 6.479 medicamente este optimizată prin caching în memorie (cachedUiRows în medicationsLoader.js) și prin încărcarea completă o singură dată la inițializarea aplicației. Paginarea client-side reduce numărul de elemente DOM renderate simultan.</w:t>
      </w:r>
    </w:p>
    <w:p>
      <w:pPr>
        <w:pStyle w:val="Heading1"/>
      </w:pPr>
      <w:r>
        <w:t>6. Testarea aplicației</w:t>
      </w:r>
    </w:p>
    <w:p>
      <w:r>
        <w:rPr>
          <w:rFonts w:ascii="Times New Roman" w:hAnsi="Times New Roman"/>
          <w:b w:val="0"/>
          <w:sz w:val="24"/>
        </w:rPr>
        <w:t>Testarea aplicației a fost realizată cu framework-ul Playwright, ales ca alternativă modernă la Cypress datorită suportului nativ multi-browser, a API-ului async/await și a rapoartelor HTML integrate. [6]</w:t>
      </w:r>
    </w:p>
    <w:p>
      <w:pPr>
        <w:pStyle w:val="Heading2"/>
      </w:pPr>
      <w:r>
        <w:t>6.1 Configurarea mediului de testare</w:t>
      </w:r>
    </w:p>
    <w:p>
      <w:r>
        <w:rPr>
          <w:rFonts w:ascii="Times New Roman" w:hAnsi="Times New Roman"/>
          <w:b w:val="0"/>
          <w:sz w:val="24"/>
        </w:rPr>
        <w:t>Proiectul Playwright este configurat în playwright.config.js cu baseURL http://localhost:5547 (server Vite de dezvoltare) și reutilizarea serverului existent (reuseExistingServer: true). Testele rulează pe Chromium. Comanda de execuție este: npm run test:e2e.</w:t>
      </w:r>
    </w:p>
    <w:p>
      <w:pPr>
        <w:spacing w:before="120" w:after="120"/>
        <w:ind w:left="567"/>
        <w:shd w:fill="F5F5F5"/>
      </w:pPr>
      <w:r>
        <w:rPr>
          <w:rFonts w:ascii="Courier New" w:hAnsi="Courier New"/>
          <w:sz w:val="18"/>
        </w:rPr>
        <w:t>// playwright.config.js</w:t>
        <w:br/>
        <w:t>export default defineConfig({</w:t>
        <w:br/>
        <w:t xml:space="preserve">  testDir: './e2e',</w:t>
        <w:br/>
        <w:t xml:space="preserve">  use: { baseURL: 'http://localhost:5547' },</w:t>
        <w:br/>
        <w:t xml:space="preserve">  projects: [{ name: 'chromium', use: devices['Desktop Chrome'] }],</w:t>
        <w:br/>
        <w:t>})</w:t>
      </w:r>
    </w:p>
    <w:p>
      <w:pPr>
        <w:pStyle w:val="Heading2"/>
      </w:pPr>
      <w:r>
        <w:t>6.2 Scenarii de testare</w:t>
      </w:r>
    </w:p>
    <w:p>
      <w:r>
        <w:rPr>
          <w:rFonts w:ascii="Times New Roman" w:hAnsi="Times New Roman"/>
          <w:b/>
          <w:sz w:val="22"/>
        </w:rPr>
        <w:t>Tabelul 5 – Scenarii de testare automată Playwright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20"/>
              </w:rPr>
              <w:t>ID</w:t>
            </w:r>
          </w:p>
        </w:tc>
        <w:tc>
          <w:tcPr>
            <w:tcW w:type="dxa" w:w="1728"/>
          </w:tcPr>
          <w:p>
            <w:r>
              <w:rPr>
                <w:rFonts w:ascii="Times New Roman" w:hAnsi="Times New Roman"/>
                <w:b/>
                <w:sz w:val="20"/>
              </w:rPr>
              <w:t>Descriere</w:t>
            </w:r>
          </w:p>
        </w:tc>
        <w:tc>
          <w:tcPr>
            <w:tcW w:type="dxa" w:w="1728"/>
          </w:tcPr>
          <w:p>
            <w:r>
              <w:rPr>
                <w:rFonts w:ascii="Times New Roman" w:hAnsi="Times New Roman"/>
                <w:b/>
                <w:sz w:val="20"/>
              </w:rPr>
              <w:t>Pași</w:t>
            </w:r>
          </w:p>
        </w:tc>
        <w:tc>
          <w:tcPr>
            <w:tcW w:type="dxa" w:w="1728"/>
          </w:tcPr>
          <w:p>
            <w:r>
              <w:rPr>
                <w:rFonts w:ascii="Times New Roman" w:hAnsi="Times New Roman"/>
                <w:b/>
                <w:sz w:val="20"/>
              </w:rPr>
              <w:t>Rezultat așteptat</w:t>
            </w:r>
          </w:p>
        </w:tc>
        <w:tc>
          <w:tcPr>
            <w:tcW w:type="dxa" w:w="1728"/>
          </w:tcPr>
          <w:p>
            <w:r>
              <w:rPr>
                <w:rFonts w:ascii="Times New Roman" w:hAnsi="Times New Roman"/>
                <w:b/>
                <w:sz w:val="20"/>
              </w:rPr>
              <w:t>Status</w:t>
            </w:r>
          </w:p>
        </w:tc>
      </w:tr>
      <w:tr>
        <w:tc>
          <w:tcPr>
            <w:tcW w:type="dxa" w:w="1728"/>
          </w:tcPr>
          <w:p>
            <w:r>
              <w:rPr>
                <w:rFonts w:ascii="Times New Roman" w:hAnsi="Times New Roman"/>
                <w:sz w:val="20"/>
              </w:rPr>
              <w:t>T01</w:t>
            </w:r>
          </w:p>
        </w:tc>
        <w:tc>
          <w:tcPr>
            <w:tcW w:type="dxa" w:w="1728"/>
          </w:tcPr>
          <w:p>
            <w:r>
              <w:rPr>
                <w:rFonts w:ascii="Times New Roman" w:hAnsi="Times New Roman"/>
                <w:sz w:val="20"/>
              </w:rPr>
              <w:t>Încărcare tabel medicamente</w:t>
            </w:r>
          </w:p>
        </w:tc>
        <w:tc>
          <w:tcPr>
            <w:tcW w:type="dxa" w:w="1728"/>
          </w:tcPr>
          <w:p>
            <w:r>
              <w:rPr>
                <w:rFonts w:ascii="Times New Roman" w:hAnsi="Times New Roman"/>
                <w:sz w:val="20"/>
              </w:rPr>
              <w:t>Accesare pagina principală</w:t>
            </w:r>
          </w:p>
        </w:tc>
        <w:tc>
          <w:tcPr>
            <w:tcW w:type="dxa" w:w="1728"/>
          </w:tcPr>
          <w:p>
            <w:r>
              <w:rPr>
                <w:rFonts w:ascii="Times New Roman" w:hAnsi="Times New Roman"/>
                <w:sz w:val="20"/>
              </w:rPr>
              <w:t>Tabelul cu medicamente CNAS este afișat</w:t>
            </w:r>
          </w:p>
        </w:tc>
        <w:tc>
          <w:tcPr>
            <w:tcW w:type="dxa" w:w="1728"/>
          </w:tcPr>
          <w:p>
            <w:r>
              <w:rPr>
                <w:rFonts w:ascii="Times New Roman" w:hAnsi="Times New Roman"/>
                <w:sz w:val="20"/>
              </w:rPr>
              <w:t>Trecut</w:t>
            </w:r>
          </w:p>
        </w:tc>
      </w:tr>
      <w:tr>
        <w:tc>
          <w:tcPr>
            <w:tcW w:type="dxa" w:w="1728"/>
          </w:tcPr>
          <w:p>
            <w:r>
              <w:rPr>
                <w:rFonts w:ascii="Times New Roman" w:hAnsi="Times New Roman"/>
                <w:sz w:val="20"/>
              </w:rPr>
              <w:t>T02</w:t>
            </w:r>
          </w:p>
        </w:tc>
        <w:tc>
          <w:tcPr>
            <w:tcW w:type="dxa" w:w="1728"/>
          </w:tcPr>
          <w:p>
            <w:r>
              <w:rPr>
                <w:rFonts w:ascii="Times New Roman" w:hAnsi="Times New Roman"/>
                <w:sz w:val="20"/>
              </w:rPr>
              <w:t>Căutare medicament</w:t>
            </w:r>
          </w:p>
        </w:tc>
        <w:tc>
          <w:tcPr>
            <w:tcW w:type="dxa" w:w="1728"/>
          </w:tcPr>
          <w:p>
            <w:r>
              <w:rPr>
                <w:rFonts w:ascii="Times New Roman" w:hAnsi="Times New Roman"/>
                <w:sz w:val="20"/>
              </w:rPr>
              <w:t>Introducere „paracetamol” în câmpul de căutare</w:t>
            </w:r>
          </w:p>
        </w:tc>
        <w:tc>
          <w:tcPr>
            <w:tcW w:type="dxa" w:w="1728"/>
          </w:tcPr>
          <w:p>
            <w:r>
              <w:rPr>
                <w:rFonts w:ascii="Times New Roman" w:hAnsi="Times New Roman"/>
                <w:sz w:val="20"/>
              </w:rPr>
              <w:t>Rezultatele conțin medicamente relevante</w:t>
            </w:r>
          </w:p>
        </w:tc>
        <w:tc>
          <w:tcPr>
            <w:tcW w:type="dxa" w:w="1728"/>
          </w:tcPr>
          <w:p>
            <w:r>
              <w:rPr>
                <w:rFonts w:ascii="Times New Roman" w:hAnsi="Times New Roman"/>
                <w:sz w:val="20"/>
              </w:rPr>
              <w:t>Trecut</w:t>
            </w:r>
          </w:p>
        </w:tc>
      </w:tr>
      <w:tr>
        <w:tc>
          <w:tcPr>
            <w:tcW w:type="dxa" w:w="1728"/>
          </w:tcPr>
          <w:p>
            <w:r>
              <w:rPr>
                <w:rFonts w:ascii="Times New Roman" w:hAnsi="Times New Roman"/>
                <w:sz w:val="20"/>
              </w:rPr>
              <w:t>T03</w:t>
            </w:r>
          </w:p>
        </w:tc>
        <w:tc>
          <w:tcPr>
            <w:tcW w:type="dxa" w:w="1728"/>
          </w:tcPr>
          <w:p>
            <w:r>
              <w:rPr>
                <w:rFonts w:ascii="Times New Roman" w:hAnsi="Times New Roman"/>
                <w:sz w:val="20"/>
              </w:rPr>
              <w:t>Filtru categorie vârstă</w:t>
            </w:r>
          </w:p>
        </w:tc>
        <w:tc>
          <w:tcPr>
            <w:tcW w:type="dxa" w:w="1728"/>
          </w:tcPr>
          <w:p>
            <w:r>
              <w:rPr>
                <w:rFonts w:ascii="Times New Roman" w:hAnsi="Times New Roman"/>
                <w:sz w:val="20"/>
              </w:rPr>
              <w:t>Selectare categorie „Copii”</w:t>
            </w:r>
          </w:p>
        </w:tc>
        <w:tc>
          <w:tcPr>
            <w:tcW w:type="dxa" w:w="1728"/>
          </w:tcPr>
          <w:p>
            <w:r>
              <w:rPr>
                <w:rFonts w:ascii="Times New Roman" w:hAnsi="Times New Roman"/>
                <w:sz w:val="20"/>
              </w:rPr>
              <w:t>Lista se filtrează conform categoriei</w:t>
            </w:r>
          </w:p>
        </w:tc>
        <w:tc>
          <w:tcPr>
            <w:tcW w:type="dxa" w:w="1728"/>
          </w:tcPr>
          <w:p>
            <w:r>
              <w:rPr>
                <w:rFonts w:ascii="Times New Roman" w:hAnsi="Times New Roman"/>
                <w:sz w:val="20"/>
              </w:rPr>
              <w:t>Trecut</w:t>
            </w:r>
          </w:p>
        </w:tc>
      </w:tr>
      <w:tr>
        <w:tc>
          <w:tcPr>
            <w:tcW w:type="dxa" w:w="1728"/>
          </w:tcPr>
          <w:p>
            <w:r>
              <w:rPr>
                <w:rFonts w:ascii="Times New Roman" w:hAnsi="Times New Roman"/>
                <w:sz w:val="20"/>
              </w:rPr>
              <w:t>T04</w:t>
            </w:r>
          </w:p>
        </w:tc>
        <w:tc>
          <w:tcPr>
            <w:tcW w:type="dxa" w:w="1728"/>
          </w:tcPr>
          <w:p>
            <w:r>
              <w:rPr>
                <w:rFonts w:ascii="Times New Roman" w:hAnsi="Times New Roman"/>
                <w:sz w:val="20"/>
              </w:rPr>
              <w:t>Paginare</w:t>
            </w:r>
          </w:p>
        </w:tc>
        <w:tc>
          <w:tcPr>
            <w:tcW w:type="dxa" w:w="1728"/>
          </w:tcPr>
          <w:p>
            <w:r>
              <w:rPr>
                <w:rFonts w:ascii="Times New Roman" w:hAnsi="Times New Roman"/>
                <w:sz w:val="20"/>
              </w:rPr>
              <w:t>Click pe butonul pagină următoare</w:t>
            </w:r>
          </w:p>
        </w:tc>
        <w:tc>
          <w:tcPr>
            <w:tcW w:type="dxa" w:w="1728"/>
          </w:tcPr>
          <w:p>
            <w:r>
              <w:rPr>
                <w:rFonts w:ascii="Times New Roman" w:hAnsi="Times New Roman"/>
                <w:sz w:val="20"/>
              </w:rPr>
              <w:t>Se afișează următoarea pagină de rezultate</w:t>
            </w:r>
          </w:p>
        </w:tc>
        <w:tc>
          <w:tcPr>
            <w:tcW w:type="dxa" w:w="1728"/>
          </w:tcPr>
          <w:p>
            <w:r>
              <w:rPr>
                <w:rFonts w:ascii="Times New Roman" w:hAnsi="Times New Roman"/>
                <w:sz w:val="20"/>
              </w:rPr>
              <w:t>Trecut</w:t>
            </w:r>
          </w:p>
        </w:tc>
      </w:tr>
      <w:tr>
        <w:tc>
          <w:tcPr>
            <w:tcW w:type="dxa" w:w="1728"/>
          </w:tcPr>
          <w:p>
            <w:r>
              <w:rPr>
                <w:rFonts w:ascii="Times New Roman" w:hAnsi="Times New Roman"/>
                <w:sz w:val="20"/>
              </w:rPr>
              <w:t>T05</w:t>
            </w:r>
          </w:p>
        </w:tc>
        <w:tc>
          <w:tcPr>
            <w:tcW w:type="dxa" w:w="1728"/>
          </w:tcPr>
          <w:p>
            <w:r>
              <w:rPr>
                <w:rFonts w:ascii="Times New Roman" w:hAnsi="Times New Roman"/>
                <w:sz w:val="20"/>
              </w:rPr>
              <w:t>Modal autentificare</w:t>
            </w:r>
          </w:p>
        </w:tc>
        <w:tc>
          <w:tcPr>
            <w:tcW w:type="dxa" w:w="1728"/>
          </w:tcPr>
          <w:p>
            <w:r>
              <w:rPr>
                <w:rFonts w:ascii="Times New Roman" w:hAnsi="Times New Roman"/>
                <w:sz w:val="20"/>
              </w:rPr>
              <w:t>Deschidere meniu cont → Autentificare</w:t>
            </w:r>
          </w:p>
        </w:tc>
        <w:tc>
          <w:tcPr>
            <w:tcW w:type="dxa" w:w="1728"/>
          </w:tcPr>
          <w:p>
            <w:r>
              <w:rPr>
                <w:rFonts w:ascii="Times New Roman" w:hAnsi="Times New Roman"/>
                <w:sz w:val="20"/>
              </w:rPr>
              <w:t>Formularul cu email și parolă apare</w:t>
            </w:r>
          </w:p>
        </w:tc>
        <w:tc>
          <w:tcPr>
            <w:tcW w:type="dxa" w:w="1728"/>
          </w:tcPr>
          <w:p>
            <w:r>
              <w:rPr>
                <w:rFonts w:ascii="Times New Roman" w:hAnsi="Times New Roman"/>
                <w:sz w:val="20"/>
              </w:rPr>
              <w:t>Trecut</w:t>
            </w:r>
          </w:p>
        </w:tc>
      </w:tr>
      <w:tr>
        <w:tc>
          <w:tcPr>
            <w:tcW w:type="dxa" w:w="1728"/>
          </w:tcPr>
          <w:p>
            <w:r>
              <w:rPr>
                <w:rFonts w:ascii="Times New Roman" w:hAnsi="Times New Roman"/>
                <w:sz w:val="20"/>
              </w:rPr>
              <w:t>T06</w:t>
            </w:r>
          </w:p>
        </w:tc>
        <w:tc>
          <w:tcPr>
            <w:tcW w:type="dxa" w:w="1728"/>
          </w:tcPr>
          <w:p>
            <w:r>
              <w:rPr>
                <w:rFonts w:ascii="Times New Roman" w:hAnsi="Times New Roman"/>
                <w:sz w:val="20"/>
              </w:rPr>
              <w:t>Modal înregistrare</w:t>
            </w:r>
          </w:p>
        </w:tc>
        <w:tc>
          <w:tcPr>
            <w:tcW w:type="dxa" w:w="1728"/>
          </w:tcPr>
          <w:p>
            <w:r>
              <w:rPr>
                <w:rFonts w:ascii="Times New Roman" w:hAnsi="Times New Roman"/>
                <w:sz w:val="20"/>
              </w:rPr>
              <w:t>Deschidere flux înregistrare</w:t>
            </w:r>
          </w:p>
        </w:tc>
        <w:tc>
          <w:tcPr>
            <w:tcW w:type="dxa" w:w="1728"/>
          </w:tcPr>
          <w:p>
            <w:r>
              <w:rPr>
                <w:rFonts w:ascii="Times New Roman" w:hAnsi="Times New Roman"/>
                <w:sz w:val="20"/>
              </w:rPr>
              <w:t>Formularul de signup este vizibil</w:t>
            </w:r>
          </w:p>
        </w:tc>
        <w:tc>
          <w:tcPr>
            <w:tcW w:type="dxa" w:w="1728"/>
          </w:tcPr>
          <w:p>
            <w:r>
              <w:rPr>
                <w:rFonts w:ascii="Times New Roman" w:hAnsi="Times New Roman"/>
                <w:sz w:val="20"/>
              </w:rPr>
              <w:t>Trecut</w:t>
            </w:r>
          </w:p>
        </w:tc>
      </w:tr>
      <w:tr>
        <w:tc>
          <w:tcPr>
            <w:tcW w:type="dxa" w:w="1728"/>
          </w:tcPr>
          <w:p>
            <w:r>
              <w:rPr>
                <w:rFonts w:ascii="Times New Roman" w:hAnsi="Times New Roman"/>
                <w:sz w:val="20"/>
              </w:rPr>
              <w:t>T07</w:t>
            </w:r>
          </w:p>
        </w:tc>
        <w:tc>
          <w:tcPr>
            <w:tcW w:type="dxa" w:w="1728"/>
          </w:tcPr>
          <w:p>
            <w:r>
              <w:rPr>
                <w:rFonts w:ascii="Times New Roman" w:hAnsi="Times New Roman"/>
                <w:sz w:val="20"/>
              </w:rPr>
              <w:t>Panou rețetă</w:t>
            </w:r>
          </w:p>
        </w:tc>
        <w:tc>
          <w:tcPr>
            <w:tcW w:type="dxa" w:w="1728"/>
          </w:tcPr>
          <w:p>
            <w:r>
              <w:rPr>
                <w:rFonts w:ascii="Times New Roman" w:hAnsi="Times New Roman"/>
                <w:sz w:val="20"/>
              </w:rPr>
              <w:t>Verificare panou lateral rețetă</w:t>
            </w:r>
          </w:p>
        </w:tc>
        <w:tc>
          <w:tcPr>
            <w:tcW w:type="dxa" w:w="1728"/>
          </w:tcPr>
          <w:p>
            <w:r>
              <w:rPr>
                <w:rFonts w:ascii="Times New Roman" w:hAnsi="Times New Roman"/>
                <w:sz w:val="20"/>
              </w:rPr>
              <w:t>Panoul „LISTA MEDICAMENTE” este vizibil</w:t>
            </w:r>
          </w:p>
        </w:tc>
        <w:tc>
          <w:tcPr>
            <w:tcW w:type="dxa" w:w="1728"/>
          </w:tcPr>
          <w:p>
            <w:r>
              <w:rPr>
                <w:rFonts w:ascii="Times New Roman" w:hAnsi="Times New Roman"/>
                <w:sz w:val="20"/>
              </w:rPr>
              <w:t>Trecut</w:t>
            </w:r>
          </w:p>
        </w:tc>
      </w:tr>
      <w:tr>
        <w:tc>
          <w:tcPr>
            <w:tcW w:type="dxa" w:w="1728"/>
          </w:tcPr>
          <w:p>
            <w:r>
              <w:rPr>
                <w:rFonts w:ascii="Times New Roman" w:hAnsi="Times New Roman"/>
                <w:sz w:val="20"/>
              </w:rPr>
              <w:t>T08</w:t>
            </w:r>
          </w:p>
        </w:tc>
        <w:tc>
          <w:tcPr>
            <w:tcW w:type="dxa" w:w="1728"/>
          </w:tcPr>
          <w:p>
            <w:r>
              <w:rPr>
                <w:rFonts w:ascii="Times New Roman" w:hAnsi="Times New Roman"/>
                <w:sz w:val="20"/>
              </w:rPr>
              <w:t>Adăugare medicament personalizat</w:t>
            </w:r>
          </w:p>
        </w:tc>
        <w:tc>
          <w:tcPr>
            <w:tcW w:type="dxa" w:w="1728"/>
          </w:tcPr>
          <w:p>
            <w:r>
              <w:rPr>
                <w:rFonts w:ascii="Times New Roman" w:hAnsi="Times New Roman"/>
                <w:sz w:val="20"/>
              </w:rPr>
              <w:t>Click buton adăugare medicament</w:t>
            </w:r>
          </w:p>
        </w:tc>
        <w:tc>
          <w:tcPr>
            <w:tcW w:type="dxa" w:w="1728"/>
          </w:tcPr>
          <w:p>
            <w:r>
              <w:rPr>
                <w:rFonts w:ascii="Times New Roman" w:hAnsi="Times New Roman"/>
                <w:sz w:val="20"/>
              </w:rPr>
              <w:t>Modalul de adăugare se deschide</w:t>
            </w:r>
          </w:p>
        </w:tc>
        <w:tc>
          <w:tcPr>
            <w:tcW w:type="dxa" w:w="1728"/>
          </w:tcPr>
          <w:p>
            <w:r>
              <w:rPr>
                <w:rFonts w:ascii="Times New Roman" w:hAnsi="Times New Roman"/>
                <w:sz w:val="20"/>
              </w:rPr>
              <w:t>Trecut</w:t>
            </w:r>
          </w:p>
        </w:tc>
      </w:tr>
      <w:tr>
        <w:tc>
          <w:tcPr>
            <w:tcW w:type="dxa" w:w="1728"/>
          </w:tcPr>
          <w:p>
            <w:r>
              <w:rPr>
                <w:rFonts w:ascii="Times New Roman" w:hAnsi="Times New Roman"/>
                <w:sz w:val="20"/>
              </w:rPr>
              <w:t>T09</w:t>
            </w:r>
          </w:p>
        </w:tc>
        <w:tc>
          <w:tcPr>
            <w:tcW w:type="dxa" w:w="1728"/>
          </w:tcPr>
          <w:p>
            <w:r>
              <w:rPr>
                <w:rFonts w:ascii="Times New Roman" w:hAnsi="Times New Roman"/>
                <w:sz w:val="20"/>
              </w:rPr>
              <w:t>Chatbot – componentă DOM</w:t>
            </w:r>
          </w:p>
        </w:tc>
        <w:tc>
          <w:tcPr>
            <w:tcW w:type="dxa" w:w="1728"/>
          </w:tcPr>
          <w:p>
            <w:r>
              <w:rPr>
                <w:rFonts w:ascii="Times New Roman" w:hAnsi="Times New Roman"/>
                <w:sz w:val="20"/>
              </w:rPr>
              <w:t>Verificare existență buton chat</w:t>
            </w:r>
          </w:p>
        </w:tc>
        <w:tc>
          <w:tcPr>
            <w:tcW w:type="dxa" w:w="1728"/>
          </w:tcPr>
          <w:p>
            <w:r>
              <w:rPr>
                <w:rFonts w:ascii="Times New Roman" w:hAnsi="Times New Roman"/>
                <w:sz w:val="20"/>
              </w:rPr>
              <w:t>Elementul chat este atașat în DOM</w:t>
            </w:r>
          </w:p>
        </w:tc>
        <w:tc>
          <w:tcPr>
            <w:tcW w:type="dxa" w:w="1728"/>
          </w:tcPr>
          <w:p>
            <w:r>
              <w:rPr>
                <w:rFonts w:ascii="Times New Roman" w:hAnsi="Times New Roman"/>
                <w:sz w:val="20"/>
              </w:rPr>
              <w:t>Trecut</w:t>
            </w:r>
          </w:p>
        </w:tc>
      </w:tr>
      <w:tr>
        <w:tc>
          <w:tcPr>
            <w:tcW w:type="dxa" w:w="1728"/>
          </w:tcPr>
          <w:p>
            <w:r>
              <w:rPr>
                <w:rFonts w:ascii="Times New Roman" w:hAnsi="Times New Roman"/>
                <w:sz w:val="20"/>
              </w:rPr>
              <w:t>T10</w:t>
            </w:r>
          </w:p>
        </w:tc>
        <w:tc>
          <w:tcPr>
            <w:tcW w:type="dxa" w:w="1728"/>
          </w:tcPr>
          <w:p>
            <w:r>
              <w:rPr>
                <w:rFonts w:ascii="Times New Roman" w:hAnsi="Times New Roman"/>
                <w:sz w:val="20"/>
              </w:rPr>
              <w:t>Chatbot – deschidere event</w:t>
            </w:r>
          </w:p>
        </w:tc>
        <w:tc>
          <w:tcPr>
            <w:tcW w:type="dxa" w:w="1728"/>
          </w:tcPr>
          <w:p>
            <w:r>
              <w:rPr>
                <w:rFonts w:ascii="Times New Roman" w:hAnsi="Times New Roman"/>
                <w:sz w:val="20"/>
              </w:rPr>
              <w:t>Dispatch event openChatBot</w:t>
            </w:r>
          </w:p>
        </w:tc>
        <w:tc>
          <w:tcPr>
            <w:tcW w:type="dxa" w:w="1728"/>
          </w:tcPr>
          <w:p>
            <w:r>
              <w:rPr>
                <w:rFonts w:ascii="Times New Roman" w:hAnsi="Times New Roman"/>
                <w:sz w:val="20"/>
              </w:rPr>
              <w:t>Modalul chat se deschide</w:t>
            </w:r>
          </w:p>
        </w:tc>
        <w:tc>
          <w:tcPr>
            <w:tcW w:type="dxa" w:w="1728"/>
          </w:tcPr>
          <w:p>
            <w:r>
              <w:rPr>
                <w:rFonts w:ascii="Times New Roman" w:hAnsi="Times New Roman"/>
                <w:sz w:val="20"/>
              </w:rPr>
              <w:t>Trecut</w:t>
            </w:r>
          </w:p>
        </w:tc>
      </w:tr>
      <w:tr>
        <w:tc>
          <w:tcPr>
            <w:tcW w:type="dxa" w:w="1728"/>
          </w:tcPr>
          <w:p>
            <w:r>
              <w:rPr>
                <w:rFonts w:ascii="Times New Roman" w:hAnsi="Times New Roman"/>
                <w:sz w:val="20"/>
              </w:rPr>
              <w:t>T11</w:t>
            </w:r>
          </w:p>
        </w:tc>
        <w:tc>
          <w:tcPr>
            <w:tcW w:type="dxa" w:w="1728"/>
          </w:tcPr>
          <w:p>
            <w:r>
              <w:rPr>
                <w:rFonts w:ascii="Times New Roman" w:hAnsi="Times New Roman"/>
                <w:sz w:val="20"/>
              </w:rPr>
              <w:t>Chatbot – mesaj inițial</w:t>
            </w:r>
          </w:p>
        </w:tc>
        <w:tc>
          <w:tcPr>
            <w:tcW w:type="dxa" w:w="1728"/>
          </w:tcPr>
          <w:p>
            <w:r>
              <w:rPr>
                <w:rFonts w:ascii="Times New Roman" w:hAnsi="Times New Roman"/>
                <w:sz w:val="20"/>
              </w:rPr>
              <w:t>Verificare conținut la deschidere</w:t>
            </w:r>
          </w:p>
        </w:tc>
        <w:tc>
          <w:tcPr>
            <w:tcW w:type="dxa" w:w="1728"/>
          </w:tcPr>
          <w:p>
            <w:r>
              <w:rPr>
                <w:rFonts w:ascii="Times New Roman" w:hAnsi="Times New Roman"/>
                <w:sz w:val="20"/>
              </w:rPr>
              <w:t>Mesaj de bun venit sau cerere autentificare</w:t>
            </w:r>
          </w:p>
        </w:tc>
        <w:tc>
          <w:tcPr>
            <w:tcW w:type="dxa" w:w="1728"/>
          </w:tcPr>
          <w:p>
            <w:r>
              <w:rPr>
                <w:rFonts w:ascii="Times New Roman" w:hAnsi="Times New Roman"/>
                <w:sz w:val="20"/>
              </w:rPr>
              <w:t>Trecut</w:t>
            </w:r>
          </w:p>
        </w:tc>
      </w:tr>
      <w:tr>
        <w:tc>
          <w:tcPr>
            <w:tcW w:type="dxa" w:w="1728"/>
          </w:tcPr>
          <w:p>
            <w:r>
              <w:rPr>
                <w:rFonts w:ascii="Times New Roman" w:hAnsi="Times New Roman"/>
                <w:sz w:val="20"/>
              </w:rPr>
              <w:t>T12</w:t>
            </w:r>
          </w:p>
        </w:tc>
        <w:tc>
          <w:tcPr>
            <w:tcW w:type="dxa" w:w="1728"/>
          </w:tcPr>
          <w:p>
            <w:r>
              <w:rPr>
                <w:rFonts w:ascii="Times New Roman" w:hAnsi="Times New Roman"/>
                <w:sz w:val="20"/>
              </w:rPr>
              <w:t>Raport final</w:t>
            </w:r>
          </w:p>
        </w:tc>
        <w:tc>
          <w:tcPr>
            <w:tcW w:type="dxa" w:w="1728"/>
          </w:tcPr>
          <w:p>
            <w:r>
              <w:rPr>
                <w:rFonts w:ascii="Times New Roman" w:hAnsi="Times New Roman"/>
                <w:sz w:val="20"/>
              </w:rPr>
              <w:t>Rulare npm run test:e2e</w:t>
            </w:r>
          </w:p>
        </w:tc>
        <w:tc>
          <w:tcPr>
            <w:tcW w:type="dxa" w:w="1728"/>
          </w:tcPr>
          <w:p>
            <w:r>
              <w:rPr>
                <w:rFonts w:ascii="Times New Roman" w:hAnsi="Times New Roman"/>
                <w:sz w:val="20"/>
              </w:rPr>
              <w:t>12/12 teste trecute</w:t>
            </w:r>
          </w:p>
        </w:tc>
        <w:tc>
          <w:tcPr>
            <w:tcW w:type="dxa" w:w="1728"/>
          </w:tcPr>
          <w:p>
            <w:r>
              <w:rPr>
                <w:rFonts w:ascii="Times New Roman" w:hAnsi="Times New Roman"/>
                <w:sz w:val="20"/>
              </w:rPr>
              <w:t>Trecut</w:t>
            </w:r>
          </w:p>
        </w:tc>
      </w:tr>
    </w:tbl>
    <w:p/>
    <w:p>
      <w:r>
        <w:rPr>
          <w:rFonts w:ascii="Times New Roman" w:hAnsi="Times New Roman"/>
          <w:b w:val="0"/>
          <w:sz w:val="24"/>
        </w:rPr>
        <w:t>Testele sunt organizate în patru suite: medications.spec.js (încărcare, căutare, filtre, paginare), auth.spec.js (modale autentificare și înregistrare), prescription.spec.js (panou rețetă, adăugare medicament) și chatbot.spec.js (deschidere chat, mesaje inițiale). Scriptul capture-screenshots.spec.js generează capturile de ecran utilizate în documentație.</w:t>
      </w:r>
    </w:p>
    <w:p>
      <w:pPr>
        <w:pStyle w:val="Heading2"/>
      </w:pPr>
      <w:r>
        <w:t>6.3 Rezultate</w:t>
      </w:r>
    </w:p>
    <w:p>
      <w:r>
        <w:rPr>
          <w:rFonts w:ascii="Times New Roman" w:hAnsi="Times New Roman"/>
          <w:b w:val="0"/>
          <w:sz w:val="24"/>
        </w:rPr>
        <w:t>La execuția finală, toate cele 12 teste automate au trecut cu succes (12/12 passed în 36,6 secunde). Testele de chatbot utilizează dispatchEvent('openChatBot') deoarece butonul flotant este ascuns prin CSS, iar butonul din sidebar este vizibil doar pentru utilizatorii autentificați.</w:t>
      </w:r>
    </w:p>
    <w:p>
      <w:r>
        <w:rPr>
          <w:rFonts w:ascii="Times New Roman" w:hAnsi="Times New Roman"/>
          <w:b w:val="0"/>
          <w:sz w:val="24"/>
        </w:rPr>
        <w:t>Raportul HTML Playwright este generat în directorul playwright-report/ și poate fi vizualizat cu comanda: npm run test:e2e:report.</w:t>
      </w:r>
    </w:p>
    <w:p>
      <w:r>
        <w:rPr>
          <w:rFonts w:ascii="Times New Roman" w:hAnsi="Times New Roman"/>
          <w:b w:val="0"/>
          <w:sz w:val="24"/>
        </w:rPr>
        <w:t>Testarea automată end-to-end (E2E) simulează interacțiunea reală a utilizatorului cu aplicația în browser. Playwright oferă auto-waiting inteligent: acțiunile așteaptă automat ca elementele să fie vizibile, stabile și enabled înainte de interacțiune.</w:t>
      </w:r>
    </w:p>
    <w:p>
      <w:r>
        <w:rPr>
          <w:rFonts w:ascii="Times New Roman" w:hAnsi="Times New Roman"/>
          <w:b w:val="0"/>
          <w:sz w:val="24"/>
        </w:rPr>
        <w:t>Alegerea Playwright în locul Cypress se bazează pe: suport nativ pentru multiple tab-uri și contexte, execuție paralelă eficientă, API modern async/await și suport pentru testare pe Chromium, Firefox și WebKit din aceeași suită.</w:t>
      </w:r>
    </w:p>
    <w:p>
      <w:r>
        <w:rPr>
          <w:rFonts w:ascii="Times New Roman" w:hAnsi="Times New Roman"/>
          <w:b w:val="0"/>
          <w:sz w:val="24"/>
        </w:rPr>
        <w:t>Testele MedAI acoperă cele patru module critice: afișare date (medications), autentificare (auth), flux rețetă (prescription) și chatbot AI. Fiecare test este independent și poate rula izolat.</w:t>
      </w:r>
    </w:p>
    <w:p>
      <w:r>
        <w:rPr>
          <w:rFonts w:ascii="Times New Roman" w:hAnsi="Times New Roman"/>
          <w:b w:val="0"/>
          <w:sz w:val="24"/>
        </w:rPr>
        <w:t>Scriptul capture-screenshots.spec.js demonstrează o utilizare secundară a Playwright: generarea automată de capturi de ecran pentru documentație, reducând efortul manual de documentare vizuală.</w:t>
      </w:r>
    </w:p>
    <w:p>
      <w:r>
        <w:rPr>
          <w:rFonts w:ascii="Times New Roman" w:hAnsi="Times New Roman"/>
          <w:b w:val="0"/>
          <w:sz w:val="24"/>
        </w:rPr>
        <w:t>Limitările testelor actuale includ: lipsa mock-ului pentru OpenAI (testele chatbot verifică doar UI-ul), absența testelor cu cont autentificat admin și inexistența testelor de performanță (load testing). Acestea sunt direcții pentru extinderea suitei de teste.</w:t>
      </w:r>
    </w:p>
    <w:p>
      <w:r>
        <w:br w:type="page"/>
      </w:r>
    </w:p>
    <w:p>
      <w:pPr>
        <w:pStyle w:val="Heading1"/>
      </w:pPr>
      <w:r>
        <w:t>7. Concluzii</w:t>
      </w:r>
    </w:p>
    <w:p>
      <w:pPr>
        <w:pStyle w:val="Heading2"/>
      </w:pPr>
      <w:r>
        <w:t>7.1 Realizări</w:t>
      </w:r>
    </w:p>
    <w:p>
      <w:r>
        <w:rPr>
          <w:rFonts w:ascii="Times New Roman" w:hAnsi="Times New Roman"/>
          <w:b w:val="0"/>
          <w:sz w:val="24"/>
        </w:rPr>
        <w:t>În cadrul acestei lucrări de licență a fost dezvoltată cu succes aplicația web MedAI, o platformă completă pentru gestionarea medicamentelor compensate CNAS. Realizările principale includ: integrarea a 6.479 medicamente cu 99,98% acoperire a mapării ATC–boli, implementarea a 25+ endpoint-uri API REST, dezvoltarea unui chatbot AI medical, flux complet de rețetă digitală cu export PDF, sistem de autentificare cu aprobare administrativă, speech-to-text în română și deploy în cloud pe Microsoft Azure.</w:t>
      </w:r>
    </w:p>
    <w:p>
      <w:pPr>
        <w:pStyle w:val="Heading2"/>
      </w:pPr>
      <w:r>
        <w:t>7.2 Probleme tehnice întâmpinate</w:t>
      </w:r>
    </w:p>
    <w:p>
      <w:r>
        <w:rPr>
          <w:rFonts w:ascii="Times New Roman" w:hAnsi="Times New Roman"/>
          <w:b w:val="0"/>
          <w:sz w:val="24"/>
        </w:rPr>
        <w:t>Backend dual Express/Azure Functions: Proiectul conține două implementări ale API-ului. Soluția a fost consolidarea pe Express App Service în producție, cu Azure Functions ca backup.</w:t>
      </w:r>
    </w:p>
    <w:p>
      <w:r>
        <w:rPr>
          <w:rFonts w:ascii="Times New Roman" w:hAnsi="Times New Roman"/>
          <w:b w:val="0"/>
          <w:sz w:val="24"/>
        </w:rPr>
        <w:t>Fallback CSV: Când API-ul nu este disponibil, aplicația parsează local CSV-ul cu PapaParse, asigurând funcționalitate offline parțială.</w:t>
      </w:r>
    </w:p>
    <w:p>
      <w:r>
        <w:rPr>
          <w:rFonts w:ascii="Times New Roman" w:hAnsi="Times New Roman"/>
          <w:b w:val="0"/>
          <w:sz w:val="24"/>
        </w:rPr>
        <w:t>Autentificare client-side: userId este transmis în query/body fără JWT. Pentru producție reală, se recomandă implementarea token-urilor JWT.</w:t>
      </w:r>
    </w:p>
    <w:p>
      <w:r>
        <w:rPr>
          <w:rFonts w:ascii="Times New Roman" w:hAnsi="Times New Roman"/>
          <w:b w:val="0"/>
          <w:sz w:val="24"/>
        </w:rPr>
        <w:t>Migrare SQLite → Azure SQL: Adapterul din backend/db/ abstractizează diferențele între SQLite și Azure SQL, permițând dezvoltare locală și deploy în cloud.</w:t>
      </w:r>
    </w:p>
    <w:p>
      <w:pPr>
        <w:pStyle w:val="Heading2"/>
      </w:pPr>
      <w:r>
        <w:t>7.3 Avantaje față de aplicațiile studiate</w:t>
      </w:r>
    </w:p>
    <w:p>
      <w:r>
        <w:rPr>
          <w:rFonts w:ascii="Times New Roman" w:hAnsi="Times New Roman"/>
          <w:b w:val="0"/>
          <w:sz w:val="24"/>
        </w:rPr>
        <w:t>MedAI este singura aplicație analizată care combină lista CNAS oficială cu mapare medicament–boală, asistent AI pentru simptome, rețete digitale cu export PDF, filtrare după categorie de vârstă și speech-to-text în limba română, într-o singură platformă web accesibilă gratuit.</w:t>
      </w:r>
    </w:p>
    <w:p>
      <w:pPr>
        <w:pStyle w:val="Heading2"/>
      </w:pPr>
      <w:r>
        <w:t>7.4 Dezvoltări viitoare</w:t>
      </w:r>
    </w:p>
    <w:p>
      <w:r>
        <w:rPr>
          <w:rFonts w:ascii="Times New Roman" w:hAnsi="Times New Roman"/>
          <w:b w:val="0"/>
          <w:sz w:val="24"/>
        </w:rPr>
        <w:t>Funcționalități planificate pentru versiuni viitoare: autentificare JWT, verificare interacțiuni medicamentoase, notificări push, aplicație mobilă (React Native), fine-tuning al modelului AI pe datele CNAS și integrare cu sisteme electronice de sănătate (SIUI).</w:t>
      </w:r>
    </w:p>
    <w:p>
      <w:r>
        <w:rPr>
          <w:rFonts w:ascii="Times New Roman" w:hAnsi="Times New Roman"/>
          <w:b w:val="0"/>
          <w:sz w:val="24"/>
        </w:rPr>
        <w:t>Proiectul MedAI demonstrează fezabilitatea integrării listei oficiale CNAS cu tehnologii web moderne și inteligență artificială într-o singură platformă accesibilă. Volumul de date procesat (6.479 medicamente, 992 coduri boală, 14 categorii ATC) confirmă scalabilitatea soluției.</w:t>
      </w:r>
    </w:p>
    <w:p>
      <w:r>
        <w:rPr>
          <w:rFonts w:ascii="Times New Roman" w:hAnsi="Times New Roman"/>
          <w:b w:val="0"/>
          <w:sz w:val="24"/>
        </w:rPr>
        <w:t>Experiența acumulată în dezvoltarea MedAI include competențe full-stack JavaScript, administrare Azure cloud, integrare API-uri AI, procesare date cu Python/pandas și testare automată cu Playwright.</w:t>
      </w:r>
    </w:p>
    <w:p>
      <w:r>
        <w:rPr>
          <w:rFonts w:ascii="Times New Roman" w:hAnsi="Times New Roman"/>
          <w:b w:val="0"/>
          <w:sz w:val="24"/>
        </w:rPr>
        <w:t>Impactul potențial asupra practicii medicale din România include reducerea timpului de căutare a medicamentelor compensate, asistarea deciziei terapeutice prin AI și digitalizarea parțială a fluxului de prescripție.</w:t>
      </w:r>
    </w:p>
    <w:p>
      <w:r>
        <w:br w:type="page"/>
      </w:r>
    </w:p>
    <w:p>
      <w:pPr>
        <w:pStyle w:val="Heading1"/>
      </w:pPr>
      <w:r>
        <w:t>8. Bibliografie</w:t>
      </w:r>
    </w:p>
    <w:p>
      <w:r>
        <w:rPr>
          <w:rFonts w:ascii="Times New Roman" w:hAnsi="Times New Roman"/>
          <w:b w:val="0"/>
          <w:sz w:val="24"/>
        </w:rPr>
        <w:t>[1] React Documentation, https://react.dev/, 09.06.2026</w:t>
      </w:r>
    </w:p>
    <w:p>
      <w:r>
        <w:rPr>
          <w:rFonts w:ascii="Times New Roman" w:hAnsi="Times New Roman"/>
          <w:b w:val="0"/>
          <w:sz w:val="24"/>
        </w:rPr>
        <w:t>[2] Vite Documentation, https://vitejs.dev/, 09.06.2026</w:t>
      </w:r>
    </w:p>
    <w:p>
      <w:r>
        <w:rPr>
          <w:rFonts w:ascii="Times New Roman" w:hAnsi="Times New Roman"/>
          <w:b w:val="0"/>
          <w:sz w:val="24"/>
        </w:rPr>
        <w:t>[3] Express.js Guide, https://expressjs.com/, 09.06.2026</w:t>
      </w:r>
    </w:p>
    <w:p>
      <w:r>
        <w:rPr>
          <w:rFonts w:ascii="Times New Roman" w:hAnsi="Times New Roman"/>
          <w:b w:val="0"/>
          <w:sz w:val="24"/>
        </w:rPr>
        <w:t>[4] Microsoft Azure Documentation, https://learn.microsoft.com/azure/, 09.06.2026</w:t>
      </w:r>
    </w:p>
    <w:p>
      <w:r>
        <w:rPr>
          <w:rFonts w:ascii="Times New Roman" w:hAnsi="Times New Roman"/>
          <w:b w:val="0"/>
          <w:sz w:val="24"/>
        </w:rPr>
        <w:t>[5] OpenAI API Reference, https://platform.openai.com/docs/, 09.06.2026</w:t>
      </w:r>
    </w:p>
    <w:p>
      <w:r>
        <w:rPr>
          <w:rFonts w:ascii="Times New Roman" w:hAnsi="Times New Roman"/>
          <w:b w:val="0"/>
          <w:sz w:val="24"/>
        </w:rPr>
        <w:t>[6] Playwright Documentation, https://playwright.dev/, 09.06.2026</w:t>
      </w:r>
    </w:p>
    <w:p>
      <w:r>
        <w:rPr>
          <w:rFonts w:ascii="Times New Roman" w:hAnsi="Times New Roman"/>
          <w:b w:val="0"/>
          <w:sz w:val="24"/>
        </w:rPr>
        <w:t>[7] Casa Națională de Asigurări de Sănătate, https://cnas.ro/, 09.06.2026</w:t>
      </w:r>
    </w:p>
    <w:p>
      <w:r>
        <w:rPr>
          <w:rFonts w:ascii="Times New Roman" w:hAnsi="Times New Roman"/>
          <w:b w:val="0"/>
          <w:sz w:val="24"/>
        </w:rPr>
        <w:t>[8] Medscape – Drug Reference, https://www.medscape.com/, 09.06.2026</w:t>
      </w:r>
    </w:p>
    <w:p>
      <w:r>
        <w:rPr>
          <w:rFonts w:ascii="Times New Roman" w:hAnsi="Times New Roman"/>
          <w:b w:val="0"/>
          <w:sz w:val="24"/>
        </w:rPr>
        <w:t>[9] Epocrates – Clinical Reference, https://www.epocrates.com/, 09.06.2026</w:t>
      </w:r>
    </w:p>
    <w:p>
      <w:r>
        <w:rPr>
          <w:rFonts w:ascii="Times New Roman" w:hAnsi="Times New Roman"/>
          <w:b w:val="0"/>
          <w:sz w:val="24"/>
        </w:rPr>
        <w:t>[10] Drugs.com, https://www.drugs.com/, 09.06.2026</w:t>
      </w:r>
    </w:p>
    <w:p>
      <w:r>
        <w:rPr>
          <w:rFonts w:ascii="Times New Roman" w:hAnsi="Times New Roman"/>
          <w:b w:val="0"/>
          <w:sz w:val="24"/>
        </w:rPr>
        <w:t>[11] bcrypt – Password Hashing, https://github.com/kelektiv/node.bcrypt.js, 09.06.2026</w:t>
      </w:r>
    </w:p>
    <w:p>
      <w:r>
        <w:rPr>
          <w:rFonts w:ascii="Times New Roman" w:hAnsi="Times New Roman"/>
          <w:b w:val="0"/>
          <w:sz w:val="24"/>
        </w:rPr>
        <w:t>[12] Web Speech API, https://developer.mozilla.org/en-US/docs/Web/API/Web_Speech_API, 09.06.2026</w:t>
      </w:r>
    </w:p>
    <w:p>
      <w:r>
        <w:rPr>
          <w:rFonts w:ascii="Times New Roman" w:hAnsi="Times New Roman"/>
          <w:b w:val="0"/>
          <w:sz w:val="24"/>
        </w:rPr>
        <w:t>[13] PapaParse CSV Parser, https://www.papaparse.com/, 09.06.2026</w:t>
      </w:r>
    </w:p>
    <w:p>
      <w:r>
        <w:rPr>
          <w:rFonts w:ascii="Times New Roman" w:hAnsi="Times New Roman"/>
          <w:b w:val="0"/>
          <w:sz w:val="24"/>
        </w:rPr>
        <w:t>[14] IEEE Xplore – Digital Health, https://ieeexplore.ieee.org/, 09.06.2026</w:t>
      </w:r>
    </w:p>
    <w:p>
      <w:r>
        <w:rPr>
          <w:rFonts w:ascii="Times New Roman" w:hAnsi="Times New Roman"/>
          <w:b w:val="0"/>
          <w:sz w:val="24"/>
        </w:rPr>
        <w:t>[15] html2pdf.js, https://github.com/eKoopmans/html2pdf.js, 09.06.2026</w:t>
      </w:r>
    </w:p>
    <w:p>
      <w:r>
        <w:rPr>
          <w:rFonts w:ascii="Times New Roman" w:hAnsi="Times New Roman"/>
          <w:b w:val="0"/>
          <w:sz w:val="24"/>
        </w:rPr>
        <w:t>[16] SQLite Documentation, https://www.sqlite.org/docs.html, 09.06.2026</w:t>
      </w:r>
    </w:p>
    <w:p>
      <w:r>
        <w:rPr>
          <w:rFonts w:ascii="Times New Roman" w:hAnsi="Times New Roman"/>
          <w:b w:val="0"/>
          <w:sz w:val="24"/>
        </w:rPr>
        <w:t>[17] Node.js Documentation, https://nodejs.org/docs/, 09.06.2026</w:t>
      </w:r>
    </w:p>
    <w:p>
      <w:r>
        <w:rPr>
          <w:rFonts w:ascii="Times New Roman" w:hAnsi="Times New Roman"/>
          <w:b w:val="0"/>
          <w:sz w:val="24"/>
        </w:rPr>
        <w:t>[18] ICD-10 Coduri de boală, https://www.who.int/standards/classifications/, 09.06.2026</w:t>
      </w:r>
    </w:p>
    <w:p>
      <w:r>
        <w:br w:type="page"/>
      </w:r>
    </w:p>
    <w:p>
      <w:pPr>
        <w:pStyle w:val="Heading1"/>
      </w:pPr>
      <w:r>
        <w:t>ANEXE</w:t>
      </w:r>
    </w:p>
    <w:p>
      <w:pPr>
        <w:pStyle w:val="Heading2"/>
      </w:pPr>
      <w:r>
        <w:t>Glosar de termeni</w:t>
      </w:r>
    </w:p>
    <w:p>
      <w:r>
        <w:rPr>
          <w:rFonts w:ascii="Times New Roman" w:hAnsi="Times New Roman"/>
          <w:b/>
          <w:sz w:val="22"/>
        </w:rPr>
        <w:t>Tabelul 6 – Glosar de termeni medicali și tehnici</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0"/>
              </w:rPr>
              <w:t>Termen</w:t>
            </w:r>
          </w:p>
        </w:tc>
        <w:tc>
          <w:tcPr>
            <w:tcW w:type="dxa" w:w="4320"/>
          </w:tcPr>
          <w:p>
            <w:r>
              <w:rPr>
                <w:rFonts w:ascii="Times New Roman" w:hAnsi="Times New Roman"/>
                <w:b/>
                <w:sz w:val="20"/>
              </w:rPr>
              <w:t>Definiție</w:t>
            </w:r>
          </w:p>
        </w:tc>
      </w:tr>
      <w:tr>
        <w:tc>
          <w:tcPr>
            <w:tcW w:type="dxa" w:w="4320"/>
          </w:tcPr>
          <w:p>
            <w:r>
              <w:rPr>
                <w:rFonts w:ascii="Times New Roman" w:hAnsi="Times New Roman"/>
                <w:sz w:val="20"/>
              </w:rPr>
              <w:t>ATC</w:t>
            </w:r>
          </w:p>
        </w:tc>
        <w:tc>
          <w:tcPr>
            <w:tcW w:type="dxa" w:w="4320"/>
          </w:tcPr>
          <w:p>
            <w:r>
              <w:rPr>
                <w:rFonts w:ascii="Times New Roman" w:hAnsi="Times New Roman"/>
                <w:sz w:val="20"/>
              </w:rPr>
              <w:t>Anatomical Therapeutic Chemical – sistem de clasificare internațională a medicamentelor.</w:t>
            </w:r>
          </w:p>
        </w:tc>
      </w:tr>
      <w:tr>
        <w:tc>
          <w:tcPr>
            <w:tcW w:type="dxa" w:w="4320"/>
          </w:tcPr>
          <w:p>
            <w:r>
              <w:rPr>
                <w:rFonts w:ascii="Times New Roman" w:hAnsi="Times New Roman"/>
                <w:sz w:val="20"/>
              </w:rPr>
              <w:t>CNAS</w:t>
            </w:r>
          </w:p>
        </w:tc>
        <w:tc>
          <w:tcPr>
            <w:tcW w:type="dxa" w:w="4320"/>
          </w:tcPr>
          <w:p>
            <w:r>
              <w:rPr>
                <w:rFonts w:ascii="Times New Roman" w:hAnsi="Times New Roman"/>
                <w:sz w:val="20"/>
              </w:rPr>
              <w:t>Casa Națională de Asigurări de Sănătate din România.</w:t>
            </w:r>
          </w:p>
        </w:tc>
      </w:tr>
      <w:tr>
        <w:tc>
          <w:tcPr>
            <w:tcW w:type="dxa" w:w="4320"/>
          </w:tcPr>
          <w:p>
            <w:r>
              <w:rPr>
                <w:rFonts w:ascii="Times New Roman" w:hAnsi="Times New Roman"/>
                <w:sz w:val="20"/>
              </w:rPr>
              <w:t>ICD-10</w:t>
            </w:r>
          </w:p>
        </w:tc>
        <w:tc>
          <w:tcPr>
            <w:tcW w:type="dxa" w:w="4320"/>
          </w:tcPr>
          <w:p>
            <w:r>
              <w:rPr>
                <w:rFonts w:ascii="Times New Roman" w:hAnsi="Times New Roman"/>
                <w:sz w:val="20"/>
              </w:rPr>
              <w:t>International Classification of Diseases, versiunea 10 – clasificare a bolilor.</w:t>
            </w:r>
          </w:p>
        </w:tc>
      </w:tr>
      <w:tr>
        <w:tc>
          <w:tcPr>
            <w:tcW w:type="dxa" w:w="4320"/>
          </w:tcPr>
          <w:p>
            <w:r>
              <w:rPr>
                <w:rFonts w:ascii="Times New Roman" w:hAnsi="Times New Roman"/>
                <w:sz w:val="20"/>
              </w:rPr>
              <w:t>SPA</w:t>
            </w:r>
          </w:p>
        </w:tc>
        <w:tc>
          <w:tcPr>
            <w:tcW w:type="dxa" w:w="4320"/>
          </w:tcPr>
          <w:p>
            <w:r>
              <w:rPr>
                <w:rFonts w:ascii="Times New Roman" w:hAnsi="Times New Roman"/>
                <w:sz w:val="20"/>
              </w:rPr>
              <w:t>Single Page Application – aplicație web cu o singură pagină HTML.</w:t>
            </w:r>
          </w:p>
        </w:tc>
      </w:tr>
      <w:tr>
        <w:tc>
          <w:tcPr>
            <w:tcW w:type="dxa" w:w="4320"/>
          </w:tcPr>
          <w:p>
            <w:r>
              <w:rPr>
                <w:rFonts w:ascii="Times New Roman" w:hAnsi="Times New Roman"/>
                <w:sz w:val="20"/>
              </w:rPr>
              <w:t>API REST</w:t>
            </w:r>
          </w:p>
        </w:tc>
        <w:tc>
          <w:tcPr>
            <w:tcW w:type="dxa" w:w="4320"/>
          </w:tcPr>
          <w:p>
            <w:r>
              <w:rPr>
                <w:rFonts w:ascii="Times New Roman" w:hAnsi="Times New Roman"/>
                <w:sz w:val="20"/>
              </w:rPr>
              <w:t>Interfață de programare bazată pe protocolul HTTP cu operații CRUD.</w:t>
            </w:r>
          </w:p>
        </w:tc>
      </w:tr>
      <w:tr>
        <w:tc>
          <w:tcPr>
            <w:tcW w:type="dxa" w:w="4320"/>
          </w:tcPr>
          <w:p>
            <w:r>
              <w:rPr>
                <w:rFonts w:ascii="Times New Roman" w:hAnsi="Times New Roman"/>
                <w:sz w:val="20"/>
              </w:rPr>
              <w:t>GPT-3.5-turbo</w:t>
            </w:r>
          </w:p>
        </w:tc>
        <w:tc>
          <w:tcPr>
            <w:tcW w:type="dxa" w:w="4320"/>
          </w:tcPr>
          <w:p>
            <w:r>
              <w:rPr>
                <w:rFonts w:ascii="Times New Roman" w:hAnsi="Times New Roman"/>
                <w:sz w:val="20"/>
              </w:rPr>
              <w:t>Model de limbaj mare de la OpenAI, optimizat pentru conversații.</w:t>
            </w:r>
          </w:p>
        </w:tc>
      </w:tr>
      <w:tr>
        <w:tc>
          <w:tcPr>
            <w:tcW w:type="dxa" w:w="4320"/>
          </w:tcPr>
          <w:p>
            <w:r>
              <w:rPr>
                <w:rFonts w:ascii="Times New Roman" w:hAnsi="Times New Roman"/>
                <w:sz w:val="20"/>
              </w:rPr>
              <w:t>JWT</w:t>
            </w:r>
          </w:p>
        </w:tc>
        <w:tc>
          <w:tcPr>
            <w:tcW w:type="dxa" w:w="4320"/>
          </w:tcPr>
          <w:p>
            <w:r>
              <w:rPr>
                <w:rFonts w:ascii="Times New Roman" w:hAnsi="Times New Roman"/>
                <w:sz w:val="20"/>
              </w:rPr>
              <w:t>JSON Web Token – standard pentru autentificare stateless (planificat).</w:t>
            </w:r>
          </w:p>
        </w:tc>
      </w:tr>
      <w:tr>
        <w:tc>
          <w:tcPr>
            <w:tcW w:type="dxa" w:w="4320"/>
          </w:tcPr>
          <w:p>
            <w:r>
              <w:rPr>
                <w:rFonts w:ascii="Times New Roman" w:hAnsi="Times New Roman"/>
                <w:sz w:val="20"/>
              </w:rPr>
              <w:t>E2E</w:t>
            </w:r>
          </w:p>
        </w:tc>
        <w:tc>
          <w:tcPr>
            <w:tcW w:type="dxa" w:w="4320"/>
          </w:tcPr>
          <w:p>
            <w:r>
              <w:rPr>
                <w:rFonts w:ascii="Times New Roman" w:hAnsi="Times New Roman"/>
                <w:sz w:val="20"/>
              </w:rPr>
              <w:t>End-to-End – testare care simulează fluxul complet al utilizatorului.</w:t>
            </w:r>
          </w:p>
        </w:tc>
      </w:tr>
      <w:tr>
        <w:tc>
          <w:tcPr>
            <w:tcW w:type="dxa" w:w="4320"/>
          </w:tcPr>
          <w:p>
            <w:r>
              <w:rPr>
                <w:rFonts w:ascii="Times New Roman" w:hAnsi="Times New Roman"/>
                <w:sz w:val="20"/>
              </w:rPr>
              <w:t>SIUI</w:t>
            </w:r>
          </w:p>
        </w:tc>
        <w:tc>
          <w:tcPr>
            <w:tcW w:type="dxa" w:w="4320"/>
          </w:tcPr>
          <w:p>
            <w:r>
              <w:rPr>
                <w:rFonts w:ascii="Times New Roman" w:hAnsi="Times New Roman"/>
                <w:sz w:val="20"/>
              </w:rPr>
              <w:t>Sistemul Informatic Unic Integrat – platformă națională de sănătate.</w:t>
            </w:r>
          </w:p>
        </w:tc>
      </w:tr>
      <w:tr>
        <w:tc>
          <w:tcPr>
            <w:tcW w:type="dxa" w:w="4320"/>
          </w:tcPr>
          <w:p>
            <w:r>
              <w:rPr>
                <w:rFonts w:ascii="Times New Roman" w:hAnsi="Times New Roman"/>
                <w:sz w:val="20"/>
              </w:rPr>
              <w:t>APP</w:t>
            </w:r>
          </w:p>
        </w:tc>
        <w:tc>
          <w:tcPr>
            <w:tcW w:type="dxa" w:w="4320"/>
          </w:tcPr>
          <w:p>
            <w:r>
              <w:rPr>
                <w:rFonts w:ascii="Times New Roman" w:hAnsi="Times New Roman"/>
                <w:sz w:val="20"/>
              </w:rPr>
              <w:t>Autorizație de Punere pe Piață – acordul de comercializare a unui medicament.</w:t>
            </w:r>
          </w:p>
        </w:tc>
      </w:tr>
    </w:tbl>
    <w:p/>
    <w:p>
      <w:pPr>
        <w:pStyle w:val="Heading2"/>
      </w:pPr>
      <w:r>
        <w:t>Variabile de mediu</w:t>
      </w:r>
    </w:p>
    <w:p>
      <w:r>
        <w:rPr>
          <w:rFonts w:ascii="Times New Roman" w:hAnsi="Times New Roman"/>
          <w:b/>
          <w:sz w:val="22"/>
        </w:rPr>
        <w:t>Tabelul 7 – Variabile de mediu ale aplicației</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0"/>
              </w:rPr>
              <w:t>Variabilă</w:t>
            </w:r>
          </w:p>
        </w:tc>
        <w:tc>
          <w:tcPr>
            <w:tcW w:type="dxa" w:w="4320"/>
          </w:tcPr>
          <w:p>
            <w:r>
              <w:rPr>
                <w:rFonts w:ascii="Times New Roman" w:hAnsi="Times New Roman"/>
                <w:b/>
                <w:sz w:val="20"/>
              </w:rPr>
              <w:t>Descriere</w:t>
            </w:r>
          </w:p>
        </w:tc>
      </w:tr>
      <w:tr>
        <w:tc>
          <w:tcPr>
            <w:tcW w:type="dxa" w:w="4320"/>
          </w:tcPr>
          <w:p>
            <w:r>
              <w:rPr>
                <w:rFonts w:ascii="Times New Roman" w:hAnsi="Times New Roman"/>
                <w:sz w:val="20"/>
              </w:rPr>
              <w:t>AZURE_SQL_CONNECTION_STRING</w:t>
            </w:r>
          </w:p>
        </w:tc>
        <w:tc>
          <w:tcPr>
            <w:tcW w:type="dxa" w:w="4320"/>
          </w:tcPr>
          <w:p>
            <w:r>
              <w:rPr>
                <w:rFonts w:ascii="Times New Roman" w:hAnsi="Times New Roman"/>
                <w:sz w:val="20"/>
              </w:rPr>
              <w:t>Connection string pentru Azure SQL Database</w:t>
            </w:r>
          </w:p>
        </w:tc>
      </w:tr>
      <w:tr>
        <w:tc>
          <w:tcPr>
            <w:tcW w:type="dxa" w:w="4320"/>
          </w:tcPr>
          <w:p>
            <w:r>
              <w:rPr>
                <w:rFonts w:ascii="Times New Roman" w:hAnsi="Times New Roman"/>
                <w:sz w:val="20"/>
              </w:rPr>
              <w:t>OPENAI_API_KEY</w:t>
            </w:r>
          </w:p>
        </w:tc>
        <w:tc>
          <w:tcPr>
            <w:tcW w:type="dxa" w:w="4320"/>
          </w:tcPr>
          <w:p>
            <w:r>
              <w:rPr>
                <w:rFonts w:ascii="Times New Roman" w:hAnsi="Times New Roman"/>
                <w:sz w:val="20"/>
              </w:rPr>
              <w:t>Cheie API pentru serviciul OpenAI</w:t>
            </w:r>
          </w:p>
        </w:tc>
      </w:tr>
      <w:tr>
        <w:tc>
          <w:tcPr>
            <w:tcW w:type="dxa" w:w="4320"/>
          </w:tcPr>
          <w:p>
            <w:r>
              <w:rPr>
                <w:rFonts w:ascii="Times New Roman" w:hAnsi="Times New Roman"/>
                <w:sz w:val="20"/>
              </w:rPr>
              <w:t>VITE_API_BASE</w:t>
            </w:r>
          </w:p>
        </w:tc>
        <w:tc>
          <w:tcPr>
            <w:tcW w:type="dxa" w:w="4320"/>
          </w:tcPr>
          <w:p>
            <w:r>
              <w:rPr>
                <w:rFonts w:ascii="Times New Roman" w:hAnsi="Times New Roman"/>
                <w:sz w:val="20"/>
              </w:rPr>
              <w:t>URL backend Express în build producție</w:t>
            </w:r>
          </w:p>
        </w:tc>
      </w:tr>
      <w:tr>
        <w:tc>
          <w:tcPr>
            <w:tcW w:type="dxa" w:w="4320"/>
          </w:tcPr>
          <w:p>
            <w:r>
              <w:rPr>
                <w:rFonts w:ascii="Times New Roman" w:hAnsi="Times New Roman"/>
                <w:sz w:val="20"/>
              </w:rPr>
              <w:t>PORT</w:t>
            </w:r>
          </w:p>
        </w:tc>
        <w:tc>
          <w:tcPr>
            <w:tcW w:type="dxa" w:w="4320"/>
          </w:tcPr>
          <w:p>
            <w:r>
              <w:rPr>
                <w:rFonts w:ascii="Times New Roman" w:hAnsi="Times New Roman"/>
                <w:sz w:val="20"/>
              </w:rPr>
              <w:t>Portul serverului Express (implicit 3001)</w:t>
            </w:r>
          </w:p>
        </w:tc>
      </w:tr>
      <w:tr>
        <w:tc>
          <w:tcPr>
            <w:tcW w:type="dxa" w:w="4320"/>
          </w:tcPr>
          <w:p>
            <w:r>
              <w:rPr>
                <w:rFonts w:ascii="Times New Roman" w:hAnsi="Times New Roman"/>
                <w:sz w:val="20"/>
              </w:rPr>
              <w:t>VITE_OPENAI_API_KEY</w:t>
            </w:r>
          </w:p>
        </w:tc>
        <w:tc>
          <w:tcPr>
            <w:tcW w:type="dxa" w:w="4320"/>
          </w:tcPr>
          <w:p>
            <w:r>
              <w:rPr>
                <w:rFonts w:ascii="Times New Roman" w:hAnsi="Times New Roman"/>
                <w:sz w:val="20"/>
              </w:rPr>
              <w:t>Cheie OpenAI pentru proxy Vite în dezvoltare</w:t>
            </w:r>
          </w:p>
        </w:tc>
      </w:tr>
    </w:tbl>
    <w:p/>
    <w:p>
      <w:pPr>
        <w:pStyle w:val="Heading2"/>
      </w:pPr>
      <w:r>
        <w:t>Lista figurilor</w:t>
      </w:r>
    </w:p>
    <w:p>
      <w:r>
        <w:rPr>
          <w:rFonts w:ascii="Times New Roman" w:hAnsi="Times New Roman"/>
          <w:b w:val="0"/>
          <w:sz w:val="24"/>
        </w:rPr>
        <w:t>Figura 1. – Arhitectura generală a sistemului MedAI</w:t>
      </w:r>
    </w:p>
    <w:p>
      <w:r>
        <w:rPr>
          <w:rFonts w:ascii="Times New Roman" w:hAnsi="Times New Roman"/>
          <w:b w:val="0"/>
          <w:sz w:val="24"/>
        </w:rPr>
        <w:t>Figura 2. – Modulele funcționale ale aplicației MedAI</w:t>
      </w:r>
    </w:p>
    <w:p>
      <w:r>
        <w:rPr>
          <w:rFonts w:ascii="Times New Roman" w:hAnsi="Times New Roman"/>
          <w:b w:val="0"/>
          <w:sz w:val="24"/>
        </w:rPr>
        <w:t>Figura 3. – Caz de utilizare: Medic prescrie tratament</w:t>
      </w:r>
    </w:p>
    <w:p>
      <w:r>
        <w:rPr>
          <w:rFonts w:ascii="Times New Roman" w:hAnsi="Times New Roman"/>
          <w:b w:val="0"/>
          <w:sz w:val="24"/>
        </w:rPr>
        <w:t>Figura 4. – Caz de utilizare: Recomandări AI</w:t>
      </w:r>
    </w:p>
    <w:p>
      <w:r>
        <w:rPr>
          <w:rFonts w:ascii="Times New Roman" w:hAnsi="Times New Roman"/>
          <w:b w:val="0"/>
          <w:sz w:val="24"/>
        </w:rPr>
        <w:t>Figura 5. – Caz de utilizare: Administrare conturi</w:t>
      </w:r>
    </w:p>
    <w:p>
      <w:r>
        <w:rPr>
          <w:rFonts w:ascii="Times New Roman" w:hAnsi="Times New Roman"/>
          <w:b w:val="0"/>
          <w:sz w:val="24"/>
        </w:rPr>
        <w:t>Figura 6. – Diagrama entitate-relație a bazei de date</w:t>
      </w:r>
    </w:p>
    <w:p>
      <w:r>
        <w:rPr>
          <w:rFonts w:ascii="Times New Roman" w:hAnsi="Times New Roman"/>
          <w:b w:val="0"/>
          <w:sz w:val="24"/>
        </w:rPr>
        <w:t>Figura 7. – Pagina principală cu tabelul de medicamente CNAS</w:t>
      </w:r>
    </w:p>
    <w:p>
      <w:r>
        <w:rPr>
          <w:rFonts w:ascii="Times New Roman" w:hAnsi="Times New Roman"/>
          <w:b w:val="0"/>
          <w:sz w:val="24"/>
        </w:rPr>
        <w:t>Figura 8. – Filtrare după categoria de vârstă „Copii”</w:t>
      </w:r>
    </w:p>
    <w:p>
      <w:r>
        <w:rPr>
          <w:rFonts w:ascii="Times New Roman" w:hAnsi="Times New Roman"/>
          <w:b w:val="0"/>
          <w:sz w:val="24"/>
        </w:rPr>
        <w:t>Figura 9. – Meniul contului utilizator din sidebar</w:t>
      </w:r>
    </w:p>
    <w:p>
      <w:r>
        <w:rPr>
          <w:rFonts w:ascii="Times New Roman" w:hAnsi="Times New Roman"/>
          <w:b w:val="0"/>
          <w:sz w:val="24"/>
        </w:rPr>
        <w:t>Figura 10. – Chatbot medical AI deschis</w:t>
      </w:r>
    </w:p>
    <w:p>
      <w:pPr>
        <w:pStyle w:val="Heading2"/>
      </w:pPr>
      <w:r>
        <w:t>Lista tabelelor</w:t>
      </w:r>
    </w:p>
    <w:p>
      <w:r>
        <w:rPr>
          <w:rFonts w:ascii="Times New Roman" w:hAnsi="Times New Roman"/>
          <w:b w:val="0"/>
          <w:sz w:val="24"/>
        </w:rPr>
        <w:t>Tabelul 1. – Comparație funcționalități între aplicațiile studiate și MedAI</w:t>
      </w:r>
    </w:p>
    <w:p>
      <w:r>
        <w:rPr>
          <w:rFonts w:ascii="Times New Roman" w:hAnsi="Times New Roman"/>
          <w:b w:val="0"/>
          <w:sz w:val="24"/>
        </w:rPr>
        <w:t>Tabelul 2. – Tabelele bazei de date MedAI</w:t>
      </w:r>
    </w:p>
    <w:p>
      <w:r>
        <w:rPr>
          <w:rFonts w:ascii="Times New Roman" w:hAnsi="Times New Roman"/>
          <w:b w:val="0"/>
          <w:sz w:val="24"/>
        </w:rPr>
        <w:t>Tabelul 3. – Acoperire mapare medicament-boală pe categorii ATC</w:t>
      </w:r>
    </w:p>
    <w:p>
      <w:r>
        <w:rPr>
          <w:rFonts w:ascii="Times New Roman" w:hAnsi="Times New Roman"/>
          <w:b w:val="0"/>
          <w:sz w:val="24"/>
        </w:rPr>
        <w:t>Tabelul 4. – Endpoint-uri API REST principale</w:t>
      </w:r>
    </w:p>
    <w:p>
      <w:r>
        <w:rPr>
          <w:rFonts w:ascii="Times New Roman" w:hAnsi="Times New Roman"/>
          <w:b w:val="0"/>
          <w:sz w:val="24"/>
        </w:rPr>
        <w:t>Tabelul 5. – Scenarii de testare automată Playwright</w:t>
      </w:r>
    </w:p>
    <w:p>
      <w:r>
        <w:rPr>
          <w:rFonts w:ascii="Times New Roman" w:hAnsi="Times New Roman"/>
          <w:b w:val="0"/>
          <w:sz w:val="24"/>
        </w:rPr>
        <w:t>Tabelul 6. – Glosar de termeni medicali și tehnici</w:t>
      </w:r>
    </w:p>
    <w:p>
      <w:r>
        <w:rPr>
          <w:rFonts w:ascii="Times New Roman" w:hAnsi="Times New Roman"/>
          <w:b w:val="0"/>
          <w:sz w:val="24"/>
        </w:rPr>
        <w:t>Tabelul 7. – Variabile de mediu ale aplicației</w:t>
      </w:r>
    </w:p>
    <w:p>
      <w:r>
        <w:br w:type="page"/>
      </w:r>
    </w:p>
    <w:p>
      <w:pPr>
        <w:pStyle w:val="Heading1"/>
      </w:pPr>
      <w:r>
        <w:t>DECLARAȚIE DE AUTENTICITATE</w:t>
      </w:r>
    </w:p>
    <w:p>
      <w:r>
        <w:rPr>
          <w:rFonts w:ascii="Times New Roman" w:hAnsi="Times New Roman"/>
          <w:b w:val="0"/>
          <w:sz w:val="24"/>
        </w:rPr>
        <w:t>Subsemnatul/a [NUME STUDENT], student/ă la Facultatea [NUME FACULTATE], specializarea [SPECIALIZARE], declar pe propria răspundere că prezenta lucrare de licență, intitulată „Dezvoltarea unei aplicații web inteligente pentru gestionarea medicamentelor compensate CNAS și asistarea prescrierii medicale”, reprezintă propria mea activitate și nu copiază în mod nepermis conținut din alte surse fără citarea corespunzătoare. Am citat toate sursele utilizate conform normelor de redactare academică.</w:t>
      </w:r>
    </w:p>
    <w:p>
      <w:r>
        <w:rPr>
          <w:rFonts w:ascii="Times New Roman" w:hAnsi="Times New Roman"/>
          <w:b w:val="0"/>
          <w:sz w:val="24"/>
        </w:rPr>
        <w:br/>
        <w:t>Data: _________________</w:t>
      </w:r>
    </w:p>
    <w:p>
      <w:r>
        <w:rPr>
          <w:rFonts w:ascii="Times New Roman" w:hAnsi="Times New Roman"/>
          <w:b w:val="0"/>
          <w:sz w:val="24"/>
        </w:rPr>
        <w:t>Semnătura (pix albastru): 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00" w:before="8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