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F10F62">
        <w:t xml:space="preserve"> 10°C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016827">
        <w:t>7</w:t>
      </w:r>
      <w:r w:rsidR="009B36DB">
        <w:t>.00</w:t>
      </w:r>
      <w:r w:rsidRPr="00821423">
        <w:tab/>
        <w:t>Bewölkung:</w:t>
      </w:r>
      <w:r w:rsidR="00F10F62">
        <w:t xml:space="preserve"> </w:t>
      </w:r>
      <w:r w:rsidR="00016827">
        <w:t>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10.00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</w:t>
      </w:r>
      <w:r w:rsidR="00016827">
        <w:t>20</w:t>
      </w:r>
      <w:r w:rsidR="00F10F62">
        <w:t>.4.202</w:t>
      </w:r>
      <w:r w:rsidR="00016827">
        <w:t>2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1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2 Singing or belching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3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5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11 Recently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12: recently left altricial species or young precocial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Reiherente</w:t>
            </w:r>
            <w:r w:rsidRPr="00821423">
              <w:rPr>
                <w:lang w:val="de-DE"/>
              </w:rPr>
              <w:t xml:space="preserve"> (</w:t>
            </w:r>
            <w:proofErr w:type="spellStart"/>
            <w:r w:rsidRPr="00821423">
              <w:rPr>
                <w:i/>
                <w:iCs/>
                <w:lang w:val="de-DE"/>
              </w:rPr>
              <w:t>Aythya</w:t>
            </w:r>
            <w:proofErr w:type="spellEnd"/>
            <w:r w:rsidRPr="00821423">
              <w:rPr>
                <w:i/>
                <w:iCs/>
                <w:lang w:val="de-DE"/>
              </w:rPr>
              <w:t xml:space="preserve"> </w:t>
            </w:r>
            <w:proofErr w:type="spellStart"/>
            <w:r w:rsidRPr="00821423">
              <w:rPr>
                <w:i/>
                <w:iCs/>
                <w:lang w:val="de-DE"/>
              </w:rPr>
              <w:t>fuligula</w:t>
            </w:r>
            <w:proofErr w:type="spellEnd"/>
            <w:r w:rsidRPr="00821423">
              <w:rPr>
                <w:lang w:val="de-DE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016827" w:rsidP="006C4AF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F10F62">
            <w:pPr>
              <w:tabs>
                <w:tab w:val="left" w:pos="6096"/>
              </w:tabs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C22A8E" w:rsidRDefault="00C22A8E" w:rsidP="00C22A8E">
      <w:r>
        <w:t xml:space="preserve">Außerdem: Kohlmeise, Amsel, </w:t>
      </w:r>
      <w:r w:rsidR="00016827">
        <w:t xml:space="preserve">Brandgans, Blesshuhn, </w:t>
      </w:r>
      <w:r>
        <w:t>Buchfink,</w:t>
      </w:r>
      <w:r w:rsidR="00016827">
        <w:t xml:space="preserve"> Buntspecht</w:t>
      </w:r>
      <w:r>
        <w:t xml:space="preserve">, Goldammer, </w:t>
      </w:r>
      <w:r w:rsidR="00016827">
        <w:t xml:space="preserve">Graugans, Fitis, Heckenbraunelle, Kiebitz, Kormoran, </w:t>
      </w:r>
      <w:r>
        <w:t xml:space="preserve">Mönchsgrasmücke, Ringeltaube, </w:t>
      </w:r>
      <w:r w:rsidR="00DD4869">
        <w:t>Schnatterente</w:t>
      </w:r>
      <w:r w:rsidR="00DD4869">
        <w:t xml:space="preserve">, </w:t>
      </w:r>
      <w:bookmarkStart w:id="1" w:name="_GoBack"/>
      <w:bookmarkEnd w:id="1"/>
      <w:r>
        <w:t>Stockente, Rotkehlchen, Zaunkönig</w:t>
      </w:r>
      <w:r w:rsidR="00016827">
        <w:t>,</w:t>
      </w:r>
      <w:r>
        <w:t xml:space="preserve"> Zilpzalp, </w:t>
      </w:r>
    </w:p>
    <w:p w:rsidR="00C22A8E" w:rsidRDefault="00C22A8E"/>
    <w:sectPr w:rsidR="00C22A8E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04D4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EC"/>
    <w:rsid w:val="00016827"/>
    <w:rsid w:val="00091CCE"/>
    <w:rsid w:val="0047458A"/>
    <w:rsid w:val="0078404D"/>
    <w:rsid w:val="009B36DB"/>
    <w:rsid w:val="00C22A8E"/>
    <w:rsid w:val="00CD2635"/>
    <w:rsid w:val="00DA65EC"/>
    <w:rsid w:val="00DD4869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9973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2022-10-10T11:58:00Z</dcterms:created>
  <dcterms:modified xsi:type="dcterms:W3CDTF">2022-10-10T12:16:00Z</dcterms:modified>
</cp:coreProperties>
</file>