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Guide de prise en main des gestionnaires</w:t>
      </w:r>
    </w:p>
    <w:p>
      <w:pPr>
        <w:pStyle w:val="Subtitle"/>
      </w:pPr>
      <w:r>
        <w:t>Préparer publier et suivre les gardes avec DispoSP</w:t>
      </w:r>
    </w:p>
    <w:p>
      <w:r>
        <w:rPr>
          <w:b w:val="0"/>
        </w:rPr>
        <w:t>Édition du 21 octobre 2026</w:t>
      </w:r>
    </w:p>
    <w:p>
      <w:r>
        <w:rPr>
          <w:b w:val="0"/>
        </w:rPr>
        <w:t>Ce guide accompagne les gestionnaires et administrateurs dans les opérations courantes du centre. Il présente aussi ce que les agents voient lors d’un appel à remplacement ou d’un abonnement à leur agenda, afin de pouvoir les accompagner.</w:t>
      </w:r>
    </w:p>
    <w:p>
      <w:pPr>
        <w:pStyle w:val="Heading2"/>
      </w:pPr>
      <w:r>
        <w:t>Le parcours du mois</w:t>
      </w:r>
    </w:p>
    <w:p>
      <w:pPr>
        <w:ind w:left="272" w:hanging="272"/>
      </w:pPr>
      <w:r>
        <w:rPr>
          <w:b/>
        </w:rPr>
        <w:t xml:space="preserve">1. </w:t>
      </w:r>
      <w:r>
        <w:t>Vérifier les équipes, les agents actifs et les qualifications.</w:t>
      </w:r>
    </w:p>
    <w:p>
      <w:pPr>
        <w:ind w:left="272" w:hanging="272"/>
      </w:pPr>
      <w:r>
        <w:rPr>
          <w:b/>
        </w:rPr>
        <w:t xml:space="preserve">2. </w:t>
      </w:r>
      <w:r>
        <w:t>Ouvrir une campagne, suivre les réponses et définir les besoins.</w:t>
      </w:r>
    </w:p>
    <w:p>
      <w:pPr>
        <w:ind w:left="272" w:hanging="272"/>
      </w:pPr>
      <w:r>
        <w:rPr>
          <w:b/>
        </w:rPr>
        <w:t xml:space="preserve">3. </w:t>
      </w:r>
      <w:r>
        <w:t>Composer les gardes et contrôler les règles de repos.</w:t>
      </w:r>
    </w:p>
    <w:p>
      <w:pPr>
        <w:ind w:left="272" w:hanging="272"/>
      </w:pPr>
      <w:r>
        <w:rPr>
          <w:b/>
        </w:rPr>
        <w:t xml:space="preserve">4. </w:t>
      </w:r>
      <w:r>
        <w:t>Prévisualiser et publier les créneaux prêts du mois.</w:t>
      </w:r>
    </w:p>
    <w:p>
      <w:pPr>
        <w:ind w:left="272" w:hanging="272"/>
      </w:pPr>
      <w:r>
        <w:rPr>
          <w:b/>
        </w:rPr>
        <w:t xml:space="preserve">5. </w:t>
      </w:r>
      <w:r>
        <w:t>Traiter les désistements, lancer les appels et confirmer les remplaçants.</w:t>
      </w:r>
    </w:p>
    <w:p>
      <w:pPr>
        <w:ind w:left="272" w:hanging="272"/>
      </w:pPr>
      <w:r>
        <w:rPr>
          <w:b/>
        </w:rPr>
        <w:t xml:space="preserve">6. </w:t>
      </w:r>
      <w:r>
        <w:t>Surveiller les notifications et les traitements ; vérifier les changements urgents.</w:t>
      </w:r>
    </w:p>
    <w:p>
      <w:pPr>
        <w:pStyle w:val="Heading2"/>
      </w:pPr>
      <w:r>
        <w:t>La distinction essentielle</w:t>
      </w:r>
    </w:p>
    <w:p>
      <w:r>
        <w:rPr>
          <w:b/>
        </w:rPr>
        <w:t>Disponible ne signifie pas affecté. Retenu dans le brouillon ne signifie pas publié. Seule la publication confirme la garde dans le planning personnel.</w:t>
      </w:r>
    </w:p>
    <w:p>
      <w:pPr>
        <w:pStyle w:val="Heading2"/>
      </w:pPr>
      <w:r>
        <w:t>Repères dans le guide</w:t>
      </w:r>
    </w:p>
    <w:tbl>
      <w:tblPr>
        <w:tblW w:type="auto" w:w="0"/>
        <w:jc w:val="center"/>
        <w:tblLayout w:type="fixed"/>
        <w:tblLook w:firstColumn="1" w:firstRow="1" w:lastColumn="0" w:lastRow="0" w:noHBand="0" w:noVBand="1" w:val="04A0"/>
      </w:tblPr>
      <w:tblGrid>
        <w:gridCol w:w="3742"/>
        <w:gridCol w:w="624"/>
        <w:gridCol w:w="4649"/>
        <w:gridCol w:w="624"/>
      </w:tblGrid>
      <w:tr>
        <w:trPr>
          <w:cantSplit/>
          <w:tblHeader/>
        </w:trPr>
        <w:tc>
          <w:tcPr>
            <w:tcW w:type="dxa" w:w="3742"/>
            <w:vAlign w:val="center"/>
            <w:tcMar>
              <w:top w:w="100" w:type="dxa"/>
              <w:left w:w="100" w:type="dxa"/>
              <w:bottom w:w="100" w:type="dxa"/>
              <w:right w:w="100" w:type="dxa"/>
            </w:tcMar>
            <w:shd w:fill="DCE7EF"/>
            <w:tcBorders>
              <w:top w:val="single" w:sz="4" w:color="D9D9D9"/>
              <w:left w:val="single" w:sz="4" w:color="D9D9D9"/>
              <w:bottom w:val="single" w:sz="4" w:color="D9D9D9"/>
              <w:right w:val="single" w:sz="4" w:color="D9D9D9"/>
            </w:tcBorders>
          </w:tcPr>
          <w:p>
            <w:pPr>
              <w:spacing w:after="40" w:line="247" w:lineRule="auto"/>
            </w:pPr>
            <w:r>
              <w:rPr>
                <w:b/>
                <w:sz w:val="21"/>
              </w:rPr>
              <w:t>Sujet</w:t>
            </w:r>
          </w:p>
        </w:tc>
        <w:tc>
          <w:tcPr>
            <w:tcW w:type="dxa" w:w="624"/>
            <w:vAlign w:val="center"/>
            <w:tcMar>
              <w:top w:w="100" w:type="dxa"/>
              <w:left w:w="100" w:type="dxa"/>
              <w:bottom w:w="100" w:type="dxa"/>
              <w:right w:w="100" w:type="dxa"/>
            </w:tcMar>
            <w:shd w:fill="DCE7EF"/>
            <w:tcBorders>
              <w:top w:val="single" w:sz="4" w:color="D9D9D9"/>
              <w:left w:val="single" w:sz="4" w:color="D9D9D9"/>
              <w:bottom w:val="single" w:sz="4" w:color="D9D9D9"/>
              <w:right w:val="single" w:sz="4" w:color="D9D9D9"/>
            </w:tcBorders>
          </w:tcPr>
          <w:p>
            <w:pPr>
              <w:spacing w:after="40" w:line="247" w:lineRule="auto"/>
            </w:pPr>
            <w:r>
              <w:rPr>
                <w:b/>
                <w:sz w:val="21"/>
              </w:rPr>
              <w:t>Page</w:t>
            </w:r>
          </w:p>
        </w:tc>
        <w:tc>
          <w:tcPr>
            <w:tcW w:type="dxa" w:w="4649"/>
            <w:vAlign w:val="center"/>
            <w:tcMar>
              <w:top w:w="100" w:type="dxa"/>
              <w:left w:w="100" w:type="dxa"/>
              <w:bottom w:w="100" w:type="dxa"/>
              <w:right w:w="100" w:type="dxa"/>
            </w:tcMar>
            <w:shd w:fill="DCE7EF"/>
            <w:tcBorders>
              <w:top w:val="single" w:sz="4" w:color="D9D9D9"/>
              <w:left w:val="single" w:sz="4" w:color="D9D9D9"/>
              <w:bottom w:val="single" w:sz="4" w:color="D9D9D9"/>
              <w:right w:val="single" w:sz="4" w:color="D9D9D9"/>
            </w:tcBorders>
          </w:tcPr>
          <w:p>
            <w:pPr>
              <w:spacing w:after="40" w:line="247" w:lineRule="auto"/>
            </w:pPr>
            <w:r>
              <w:rPr>
                <w:b/>
                <w:sz w:val="21"/>
              </w:rPr>
              <w:t>Sujet</w:t>
            </w:r>
          </w:p>
        </w:tc>
        <w:tc>
          <w:tcPr>
            <w:tcW w:type="dxa" w:w="624"/>
            <w:vAlign w:val="center"/>
            <w:tcMar>
              <w:top w:w="100" w:type="dxa"/>
              <w:left w:w="100" w:type="dxa"/>
              <w:bottom w:w="100" w:type="dxa"/>
              <w:right w:w="100" w:type="dxa"/>
            </w:tcMar>
            <w:shd w:fill="DCE7EF"/>
            <w:tcBorders>
              <w:top w:val="single" w:sz="4" w:color="D9D9D9"/>
              <w:left w:val="single" w:sz="4" w:color="D9D9D9"/>
              <w:bottom w:val="single" w:sz="4" w:color="D9D9D9"/>
              <w:right w:val="single" w:sz="4" w:color="D9D9D9"/>
            </w:tcBorders>
          </w:tcPr>
          <w:p>
            <w:pPr>
              <w:spacing w:after="40" w:line="247" w:lineRule="auto"/>
            </w:pPr>
            <w:r>
              <w:rPr>
                <w:b/>
                <w:sz w:val="21"/>
              </w:rPr>
              <w:t>Page</w:t>
            </w:r>
          </w:p>
        </w:tc>
      </w:tr>
      <w:tr>
        <w:trPr>
          <w:cantSplit/>
        </w:trPr>
        <w:tc>
          <w:tcPr>
            <w:tcW w:type="dxa" w:w="3742"/>
            <w:vAlign w:val="center"/>
            <w:tcMar>
              <w:top w:w="100" w:type="dxa"/>
              <w:left w:w="100" w:type="dxa"/>
              <w:bottom w:w="100" w:type="dxa"/>
              <w:right w:w="100" w:type="dxa"/>
            </w:tcMar>
            <w:shd w:fill="FFFFFF"/>
            <w:tcBorders>
              <w:top w:val="single" w:sz="4" w:color="D9D9D9"/>
              <w:left w:val="single" w:sz="4" w:color="D9D9D9"/>
              <w:bottom w:val="single" w:sz="4" w:color="D9D9D9"/>
              <w:right w:val="single" w:sz="4" w:color="D9D9D9"/>
            </w:tcBorders>
          </w:tcPr>
          <w:p>
            <w:pPr>
              <w:spacing w:after="40" w:line="247" w:lineRule="auto"/>
            </w:pPr>
            <w:r>
              <w:rPr>
                <w:b w:val="0"/>
                <w:sz w:val="21"/>
              </w:rPr>
              <w:t>Accès et rôles</w:t>
            </w:r>
          </w:p>
        </w:tc>
        <w:tc>
          <w:tcPr>
            <w:tcW w:type="dxa" w:w="624"/>
            <w:vAlign w:val="center"/>
            <w:tcMar>
              <w:top w:w="100" w:type="dxa"/>
              <w:left w:w="100" w:type="dxa"/>
              <w:bottom w:w="100" w:type="dxa"/>
              <w:right w:w="100" w:type="dxa"/>
            </w:tcMar>
            <w:shd w:fill="FFFFFF"/>
            <w:tcBorders>
              <w:top w:val="single" w:sz="4" w:color="D9D9D9"/>
              <w:left w:val="single" w:sz="4" w:color="D9D9D9"/>
              <w:bottom w:val="single" w:sz="4" w:color="D9D9D9"/>
              <w:right w:val="single" w:sz="4" w:color="D9D9D9"/>
            </w:tcBorders>
          </w:tcPr>
          <w:p>
            <w:pPr>
              <w:spacing w:after="40" w:line="247" w:lineRule="auto"/>
            </w:pPr>
            <w:r>
              <w:rPr>
                <w:b w:val="0"/>
                <w:sz w:val="21"/>
              </w:rPr>
              <w:t>2</w:t>
            </w:r>
          </w:p>
        </w:tc>
        <w:tc>
          <w:tcPr>
            <w:tcW w:type="dxa" w:w="4649"/>
            <w:vAlign w:val="center"/>
            <w:tcMar>
              <w:top w:w="100" w:type="dxa"/>
              <w:left w:w="100" w:type="dxa"/>
              <w:bottom w:w="100" w:type="dxa"/>
              <w:right w:w="100" w:type="dxa"/>
            </w:tcMar>
            <w:shd w:fill="FFFFFF"/>
            <w:tcBorders>
              <w:top w:val="single" w:sz="4" w:color="D9D9D9"/>
              <w:left w:val="single" w:sz="4" w:color="D9D9D9"/>
              <w:bottom w:val="single" w:sz="4" w:color="D9D9D9"/>
              <w:right w:val="single" w:sz="4" w:color="D9D9D9"/>
            </w:tcBorders>
          </w:tcPr>
          <w:p>
            <w:pPr>
              <w:spacing w:after="40" w:line="247" w:lineRule="auto"/>
            </w:pPr>
            <w:r>
              <w:rPr>
                <w:b w:val="0"/>
                <w:sz w:val="21"/>
              </w:rPr>
              <w:t>Publication mensuelle</w:t>
            </w:r>
          </w:p>
        </w:tc>
        <w:tc>
          <w:tcPr>
            <w:tcW w:type="dxa" w:w="624"/>
            <w:vAlign w:val="center"/>
            <w:tcMar>
              <w:top w:w="100" w:type="dxa"/>
              <w:left w:w="100" w:type="dxa"/>
              <w:bottom w:w="100" w:type="dxa"/>
              <w:right w:w="100" w:type="dxa"/>
            </w:tcMar>
            <w:shd w:fill="FFFFFF"/>
            <w:tcBorders>
              <w:top w:val="single" w:sz="4" w:color="D9D9D9"/>
              <w:left w:val="single" w:sz="4" w:color="D9D9D9"/>
              <w:bottom w:val="single" w:sz="4" w:color="D9D9D9"/>
              <w:right w:val="single" w:sz="4" w:color="D9D9D9"/>
            </w:tcBorders>
          </w:tcPr>
          <w:p>
            <w:pPr>
              <w:spacing w:after="40" w:line="247" w:lineRule="auto"/>
            </w:pPr>
            <w:r>
              <w:rPr>
                <w:b w:val="0"/>
                <w:sz w:val="21"/>
              </w:rPr>
              <w:t>7</w:t>
            </w:r>
          </w:p>
        </w:tc>
      </w:tr>
      <w:tr>
        <w:trPr>
          <w:cantSplit/>
        </w:trPr>
        <w:tc>
          <w:tcPr>
            <w:tcW w:type="dxa" w:w="3742"/>
            <w:vAlign w:val="center"/>
            <w:tcMar>
              <w:top w:w="100" w:type="dxa"/>
              <w:left w:w="100" w:type="dxa"/>
              <w:bottom w:w="100" w:type="dxa"/>
              <w:right w:w="100" w:type="dxa"/>
            </w:tcMar>
            <w:shd w:fill="F5F7F9"/>
            <w:tcBorders>
              <w:top w:val="single" w:sz="4" w:color="D9D9D9"/>
              <w:left w:val="single" w:sz="4" w:color="D9D9D9"/>
              <w:bottom w:val="single" w:sz="4" w:color="D9D9D9"/>
              <w:right w:val="single" w:sz="4" w:color="D9D9D9"/>
            </w:tcBorders>
          </w:tcPr>
          <w:p>
            <w:pPr>
              <w:spacing w:after="40" w:line="247" w:lineRule="auto"/>
            </w:pPr>
            <w:r>
              <w:rPr>
                <w:b w:val="0"/>
                <w:sz w:val="21"/>
              </w:rPr>
              <w:t>Agents et équipes</w:t>
            </w:r>
          </w:p>
        </w:tc>
        <w:tc>
          <w:tcPr>
            <w:tcW w:type="dxa" w:w="624"/>
            <w:vAlign w:val="center"/>
            <w:tcMar>
              <w:top w:w="100" w:type="dxa"/>
              <w:left w:w="100" w:type="dxa"/>
              <w:bottom w:w="100" w:type="dxa"/>
              <w:right w:w="100" w:type="dxa"/>
            </w:tcMar>
            <w:shd w:fill="F5F7F9"/>
            <w:tcBorders>
              <w:top w:val="single" w:sz="4" w:color="D9D9D9"/>
              <w:left w:val="single" w:sz="4" w:color="D9D9D9"/>
              <w:bottom w:val="single" w:sz="4" w:color="D9D9D9"/>
              <w:right w:val="single" w:sz="4" w:color="D9D9D9"/>
            </w:tcBorders>
          </w:tcPr>
          <w:p>
            <w:pPr>
              <w:spacing w:after="40" w:line="247" w:lineRule="auto"/>
            </w:pPr>
            <w:r>
              <w:rPr>
                <w:b w:val="0"/>
                <w:sz w:val="21"/>
              </w:rPr>
              <w:t>3</w:t>
            </w:r>
          </w:p>
        </w:tc>
        <w:tc>
          <w:tcPr>
            <w:tcW w:type="dxa" w:w="4649"/>
            <w:vAlign w:val="center"/>
            <w:tcMar>
              <w:top w:w="100" w:type="dxa"/>
              <w:left w:w="100" w:type="dxa"/>
              <w:bottom w:w="100" w:type="dxa"/>
              <w:right w:w="100" w:type="dxa"/>
            </w:tcMar>
            <w:shd w:fill="F5F7F9"/>
            <w:tcBorders>
              <w:top w:val="single" w:sz="4" w:color="D9D9D9"/>
              <w:left w:val="single" w:sz="4" w:color="D9D9D9"/>
              <w:bottom w:val="single" w:sz="4" w:color="D9D9D9"/>
              <w:right w:val="single" w:sz="4" w:color="D9D9D9"/>
            </w:tcBorders>
          </w:tcPr>
          <w:p>
            <w:pPr>
              <w:spacing w:after="40" w:line="247" w:lineRule="auto"/>
            </w:pPr>
            <w:r>
              <w:rPr>
                <w:b w:val="0"/>
                <w:sz w:val="21"/>
              </w:rPr>
              <w:t>Désistements et appels</w:t>
            </w:r>
          </w:p>
        </w:tc>
        <w:tc>
          <w:tcPr>
            <w:tcW w:type="dxa" w:w="624"/>
            <w:vAlign w:val="center"/>
            <w:tcMar>
              <w:top w:w="100" w:type="dxa"/>
              <w:left w:w="100" w:type="dxa"/>
              <w:bottom w:w="100" w:type="dxa"/>
              <w:right w:w="100" w:type="dxa"/>
            </w:tcMar>
            <w:shd w:fill="F5F7F9"/>
            <w:tcBorders>
              <w:top w:val="single" w:sz="4" w:color="D9D9D9"/>
              <w:left w:val="single" w:sz="4" w:color="D9D9D9"/>
              <w:bottom w:val="single" w:sz="4" w:color="D9D9D9"/>
              <w:right w:val="single" w:sz="4" w:color="D9D9D9"/>
            </w:tcBorders>
          </w:tcPr>
          <w:p>
            <w:pPr>
              <w:spacing w:after="40" w:line="247" w:lineRule="auto"/>
            </w:pPr>
            <w:r>
              <w:rPr>
                <w:b w:val="0"/>
                <w:sz w:val="21"/>
              </w:rPr>
              <w:t>8</w:t>
            </w:r>
          </w:p>
        </w:tc>
      </w:tr>
      <w:tr>
        <w:trPr>
          <w:cantSplit/>
        </w:trPr>
        <w:tc>
          <w:tcPr>
            <w:tcW w:type="dxa" w:w="3742"/>
            <w:vAlign w:val="center"/>
            <w:tcMar>
              <w:top w:w="100" w:type="dxa"/>
              <w:left w:w="100" w:type="dxa"/>
              <w:bottom w:w="100" w:type="dxa"/>
              <w:right w:w="100" w:type="dxa"/>
            </w:tcMar>
            <w:shd w:fill="FFFFFF"/>
            <w:tcBorders>
              <w:top w:val="single" w:sz="4" w:color="D9D9D9"/>
              <w:left w:val="single" w:sz="4" w:color="D9D9D9"/>
              <w:bottom w:val="single" w:sz="4" w:color="D9D9D9"/>
              <w:right w:val="single" w:sz="4" w:color="D9D9D9"/>
            </w:tcBorders>
          </w:tcPr>
          <w:p>
            <w:pPr>
              <w:spacing w:after="40" w:line="247" w:lineRule="auto"/>
            </w:pPr>
            <w:r>
              <w:rPr>
                <w:b w:val="0"/>
                <w:sz w:val="21"/>
              </w:rPr>
              <w:t>Campagnes et réponses</w:t>
            </w:r>
          </w:p>
        </w:tc>
        <w:tc>
          <w:tcPr>
            <w:tcW w:type="dxa" w:w="624"/>
            <w:vAlign w:val="center"/>
            <w:tcMar>
              <w:top w:w="100" w:type="dxa"/>
              <w:left w:w="100" w:type="dxa"/>
              <w:bottom w:w="100" w:type="dxa"/>
              <w:right w:w="100" w:type="dxa"/>
            </w:tcMar>
            <w:shd w:fill="FFFFFF"/>
            <w:tcBorders>
              <w:top w:val="single" w:sz="4" w:color="D9D9D9"/>
              <w:left w:val="single" w:sz="4" w:color="D9D9D9"/>
              <w:bottom w:val="single" w:sz="4" w:color="D9D9D9"/>
              <w:right w:val="single" w:sz="4" w:color="D9D9D9"/>
            </w:tcBorders>
          </w:tcPr>
          <w:p>
            <w:pPr>
              <w:spacing w:after="40" w:line="247" w:lineRule="auto"/>
            </w:pPr>
            <w:r>
              <w:rPr>
                <w:b w:val="0"/>
                <w:sz w:val="21"/>
              </w:rPr>
              <w:t>4</w:t>
            </w:r>
          </w:p>
        </w:tc>
        <w:tc>
          <w:tcPr>
            <w:tcW w:type="dxa" w:w="4649"/>
            <w:vAlign w:val="center"/>
            <w:tcMar>
              <w:top w:w="100" w:type="dxa"/>
              <w:left w:w="100" w:type="dxa"/>
              <w:bottom w:w="100" w:type="dxa"/>
              <w:right w:w="100" w:type="dxa"/>
            </w:tcMar>
            <w:shd w:fill="FFFFFF"/>
            <w:tcBorders>
              <w:top w:val="single" w:sz="4" w:color="D9D9D9"/>
              <w:left w:val="single" w:sz="4" w:color="D9D9D9"/>
              <w:bottom w:val="single" w:sz="4" w:color="D9D9D9"/>
              <w:right w:val="single" w:sz="4" w:color="D9D9D9"/>
            </w:tcBorders>
          </w:tcPr>
          <w:p>
            <w:pPr>
              <w:spacing w:after="40" w:line="247" w:lineRule="auto"/>
            </w:pPr>
            <w:r>
              <w:rPr>
                <w:b w:val="0"/>
                <w:sz w:val="21"/>
              </w:rPr>
              <w:t>Notifications et rappels</w:t>
            </w:r>
          </w:p>
        </w:tc>
        <w:tc>
          <w:tcPr>
            <w:tcW w:type="dxa" w:w="624"/>
            <w:vAlign w:val="center"/>
            <w:tcMar>
              <w:top w:w="100" w:type="dxa"/>
              <w:left w:w="100" w:type="dxa"/>
              <w:bottom w:w="100" w:type="dxa"/>
              <w:right w:w="100" w:type="dxa"/>
            </w:tcMar>
            <w:shd w:fill="FFFFFF"/>
            <w:tcBorders>
              <w:top w:val="single" w:sz="4" w:color="D9D9D9"/>
              <w:left w:val="single" w:sz="4" w:color="D9D9D9"/>
              <w:bottom w:val="single" w:sz="4" w:color="D9D9D9"/>
              <w:right w:val="single" w:sz="4" w:color="D9D9D9"/>
            </w:tcBorders>
          </w:tcPr>
          <w:p>
            <w:pPr>
              <w:spacing w:after="40" w:line="247" w:lineRule="auto"/>
            </w:pPr>
            <w:r>
              <w:rPr>
                <w:b w:val="0"/>
                <w:sz w:val="21"/>
              </w:rPr>
              <w:t>9</w:t>
            </w:r>
          </w:p>
        </w:tc>
      </w:tr>
      <w:tr>
        <w:trPr>
          <w:cantSplit/>
        </w:trPr>
        <w:tc>
          <w:tcPr>
            <w:tcW w:type="dxa" w:w="3742"/>
            <w:vAlign w:val="center"/>
            <w:tcMar>
              <w:top w:w="100" w:type="dxa"/>
              <w:left w:w="100" w:type="dxa"/>
              <w:bottom w:w="100" w:type="dxa"/>
              <w:right w:w="100" w:type="dxa"/>
            </w:tcMar>
            <w:shd w:fill="F5F7F9"/>
            <w:tcBorders>
              <w:top w:val="single" w:sz="4" w:color="D9D9D9"/>
              <w:left w:val="single" w:sz="4" w:color="D9D9D9"/>
              <w:bottom w:val="single" w:sz="4" w:color="D9D9D9"/>
              <w:right w:val="single" w:sz="4" w:color="D9D9D9"/>
            </w:tcBorders>
          </w:tcPr>
          <w:p>
            <w:pPr>
              <w:spacing w:after="40" w:line="247" w:lineRule="auto"/>
            </w:pPr>
            <w:r>
              <w:rPr>
                <w:b w:val="0"/>
                <w:sz w:val="21"/>
              </w:rPr>
              <w:t>Couverture et besoins</w:t>
            </w:r>
          </w:p>
        </w:tc>
        <w:tc>
          <w:tcPr>
            <w:tcW w:type="dxa" w:w="624"/>
            <w:vAlign w:val="center"/>
            <w:tcMar>
              <w:top w:w="100" w:type="dxa"/>
              <w:left w:w="100" w:type="dxa"/>
              <w:bottom w:w="100" w:type="dxa"/>
              <w:right w:w="100" w:type="dxa"/>
            </w:tcMar>
            <w:shd w:fill="F5F7F9"/>
            <w:tcBorders>
              <w:top w:val="single" w:sz="4" w:color="D9D9D9"/>
              <w:left w:val="single" w:sz="4" w:color="D9D9D9"/>
              <w:bottom w:val="single" w:sz="4" w:color="D9D9D9"/>
              <w:right w:val="single" w:sz="4" w:color="D9D9D9"/>
            </w:tcBorders>
          </w:tcPr>
          <w:p>
            <w:pPr>
              <w:spacing w:after="40" w:line="247" w:lineRule="auto"/>
            </w:pPr>
            <w:r>
              <w:rPr>
                <w:b w:val="0"/>
                <w:sz w:val="21"/>
              </w:rPr>
              <w:t>5</w:t>
            </w:r>
          </w:p>
        </w:tc>
        <w:tc>
          <w:tcPr>
            <w:tcW w:type="dxa" w:w="4649"/>
            <w:vAlign w:val="center"/>
            <w:tcMar>
              <w:top w:w="100" w:type="dxa"/>
              <w:left w:w="100" w:type="dxa"/>
              <w:bottom w:w="100" w:type="dxa"/>
              <w:right w:w="100" w:type="dxa"/>
            </w:tcMar>
            <w:shd w:fill="F5F7F9"/>
            <w:tcBorders>
              <w:top w:val="single" w:sz="4" w:color="D9D9D9"/>
              <w:left w:val="single" w:sz="4" w:color="D9D9D9"/>
              <w:bottom w:val="single" w:sz="4" w:color="D9D9D9"/>
              <w:right w:val="single" w:sz="4" w:color="D9D9D9"/>
            </w:tcBorders>
          </w:tcPr>
          <w:p>
            <w:pPr>
              <w:spacing w:after="40" w:line="247" w:lineRule="auto"/>
            </w:pPr>
            <w:r>
              <w:rPr>
                <w:b w:val="0"/>
                <w:sz w:val="21"/>
              </w:rPr>
              <w:t>Agenda des agents</w:t>
            </w:r>
          </w:p>
        </w:tc>
        <w:tc>
          <w:tcPr>
            <w:tcW w:type="dxa" w:w="624"/>
            <w:vAlign w:val="center"/>
            <w:tcMar>
              <w:top w:w="100" w:type="dxa"/>
              <w:left w:w="100" w:type="dxa"/>
              <w:bottom w:w="100" w:type="dxa"/>
              <w:right w:w="100" w:type="dxa"/>
            </w:tcMar>
            <w:shd w:fill="F5F7F9"/>
            <w:tcBorders>
              <w:top w:val="single" w:sz="4" w:color="D9D9D9"/>
              <w:left w:val="single" w:sz="4" w:color="D9D9D9"/>
              <w:bottom w:val="single" w:sz="4" w:color="D9D9D9"/>
              <w:right w:val="single" w:sz="4" w:color="D9D9D9"/>
            </w:tcBorders>
          </w:tcPr>
          <w:p>
            <w:pPr>
              <w:spacing w:after="40" w:line="247" w:lineRule="auto"/>
            </w:pPr>
            <w:r>
              <w:rPr>
                <w:b w:val="0"/>
                <w:sz w:val="21"/>
              </w:rPr>
              <w:t>10</w:t>
            </w:r>
          </w:p>
        </w:tc>
      </w:tr>
      <w:tr>
        <w:trPr>
          <w:cantSplit/>
        </w:trPr>
        <w:tc>
          <w:tcPr>
            <w:tcW w:type="dxa" w:w="3742"/>
            <w:vAlign w:val="center"/>
            <w:tcMar>
              <w:top w:w="100" w:type="dxa"/>
              <w:left w:w="100" w:type="dxa"/>
              <w:bottom w:w="100" w:type="dxa"/>
              <w:right w:w="100" w:type="dxa"/>
            </w:tcMar>
            <w:shd w:fill="FFFFFF"/>
            <w:tcBorders>
              <w:top w:val="single" w:sz="4" w:color="D9D9D9"/>
              <w:left w:val="single" w:sz="4" w:color="D9D9D9"/>
              <w:bottom w:val="single" w:sz="4" w:color="D9D9D9"/>
              <w:right w:val="single" w:sz="4" w:color="D9D9D9"/>
            </w:tcBorders>
          </w:tcPr>
          <w:p>
            <w:pPr>
              <w:spacing w:after="40" w:line="247" w:lineRule="auto"/>
            </w:pPr>
            <w:r>
              <w:rPr>
                <w:b w:val="0"/>
                <w:sz w:val="21"/>
              </w:rPr>
              <w:t>Planning et repos</w:t>
            </w:r>
          </w:p>
        </w:tc>
        <w:tc>
          <w:tcPr>
            <w:tcW w:type="dxa" w:w="624"/>
            <w:vAlign w:val="center"/>
            <w:tcMar>
              <w:top w:w="100" w:type="dxa"/>
              <w:left w:w="100" w:type="dxa"/>
              <w:bottom w:w="100" w:type="dxa"/>
              <w:right w:w="100" w:type="dxa"/>
            </w:tcMar>
            <w:shd w:fill="FFFFFF"/>
            <w:tcBorders>
              <w:top w:val="single" w:sz="4" w:color="D9D9D9"/>
              <w:left w:val="single" w:sz="4" w:color="D9D9D9"/>
              <w:bottom w:val="single" w:sz="4" w:color="D9D9D9"/>
              <w:right w:val="single" w:sz="4" w:color="D9D9D9"/>
            </w:tcBorders>
          </w:tcPr>
          <w:p>
            <w:pPr>
              <w:spacing w:after="40" w:line="247" w:lineRule="auto"/>
            </w:pPr>
            <w:r>
              <w:rPr>
                <w:b w:val="0"/>
                <w:sz w:val="21"/>
              </w:rPr>
              <w:t>6</w:t>
            </w:r>
          </w:p>
        </w:tc>
        <w:tc>
          <w:tcPr>
            <w:tcW w:type="dxa" w:w="4649"/>
            <w:vAlign w:val="center"/>
            <w:tcMar>
              <w:top w:w="100" w:type="dxa"/>
              <w:left w:w="100" w:type="dxa"/>
              <w:bottom w:w="100" w:type="dxa"/>
              <w:right w:w="100" w:type="dxa"/>
            </w:tcMar>
            <w:shd w:fill="FFFFFF"/>
            <w:tcBorders>
              <w:top w:val="single" w:sz="4" w:color="D9D9D9"/>
              <w:left w:val="single" w:sz="4" w:color="D9D9D9"/>
              <w:bottom w:val="single" w:sz="4" w:color="D9D9D9"/>
              <w:right w:val="single" w:sz="4" w:color="D9D9D9"/>
            </w:tcBorders>
          </w:tcPr>
          <w:p>
            <w:pPr>
              <w:spacing w:after="40" w:line="247" w:lineRule="auto"/>
            </w:pPr>
            <w:r>
              <w:rPr>
                <w:b w:val="0"/>
                <w:sz w:val="21"/>
              </w:rPr>
              <w:t>Exports et statistiques</w:t>
            </w:r>
          </w:p>
        </w:tc>
        <w:tc>
          <w:tcPr>
            <w:tcW w:type="dxa" w:w="624"/>
            <w:vAlign w:val="center"/>
            <w:tcMar>
              <w:top w:w="100" w:type="dxa"/>
              <w:left w:w="100" w:type="dxa"/>
              <w:bottom w:w="100" w:type="dxa"/>
              <w:right w:w="100" w:type="dxa"/>
            </w:tcMar>
            <w:shd w:fill="FFFFFF"/>
            <w:tcBorders>
              <w:top w:val="single" w:sz="4" w:color="D9D9D9"/>
              <w:left w:val="single" w:sz="4" w:color="D9D9D9"/>
              <w:bottom w:val="single" w:sz="4" w:color="D9D9D9"/>
              <w:right w:val="single" w:sz="4" w:color="D9D9D9"/>
            </w:tcBorders>
          </w:tcPr>
          <w:p>
            <w:pPr>
              <w:spacing w:after="40" w:line="247" w:lineRule="auto"/>
            </w:pPr>
            <w:r>
              <w:rPr>
                <w:b w:val="0"/>
                <w:sz w:val="21"/>
              </w:rPr>
              <w:t>11</w:t>
            </w:r>
          </w:p>
        </w:tc>
      </w:tr>
      <w:tr>
        <w:trPr>
          <w:cantSplit/>
        </w:trPr>
        <w:tc>
          <w:tcPr>
            <w:tcW w:type="dxa" w:w="3742"/>
            <w:vAlign w:val="center"/>
            <w:tcMar>
              <w:top w:w="100" w:type="dxa"/>
              <w:left w:w="100" w:type="dxa"/>
              <w:bottom w:w="100" w:type="dxa"/>
              <w:right w:w="100" w:type="dxa"/>
            </w:tcMar>
            <w:shd w:fill="F5F7F9"/>
            <w:tcBorders>
              <w:top w:val="single" w:sz="4" w:color="D9D9D9"/>
              <w:left w:val="single" w:sz="4" w:color="D9D9D9"/>
              <w:bottom w:val="single" w:sz="4" w:color="D9D9D9"/>
              <w:right w:val="single" w:sz="4" w:color="D9D9D9"/>
            </w:tcBorders>
          </w:tcPr>
          <w:p>
            <w:pPr>
              <w:spacing w:after="40" w:line="247" w:lineRule="auto"/>
            </w:pPr>
            <w:r>
              <w:rPr>
                <w:b w:val="0"/>
                <w:sz w:val="21"/>
              </w:rPr>
            </w:r>
          </w:p>
        </w:tc>
        <w:tc>
          <w:tcPr>
            <w:tcW w:type="dxa" w:w="624"/>
            <w:vAlign w:val="center"/>
            <w:tcMar>
              <w:top w:w="100" w:type="dxa"/>
              <w:left w:w="100" w:type="dxa"/>
              <w:bottom w:w="100" w:type="dxa"/>
              <w:right w:w="100" w:type="dxa"/>
            </w:tcMar>
            <w:shd w:fill="F5F7F9"/>
            <w:tcBorders>
              <w:top w:val="single" w:sz="4" w:color="D9D9D9"/>
              <w:left w:val="single" w:sz="4" w:color="D9D9D9"/>
              <w:bottom w:val="single" w:sz="4" w:color="D9D9D9"/>
              <w:right w:val="single" w:sz="4" w:color="D9D9D9"/>
            </w:tcBorders>
          </w:tcPr>
          <w:p>
            <w:pPr>
              <w:spacing w:after="40" w:line="247" w:lineRule="auto"/>
            </w:pPr>
            <w:r>
              <w:rPr>
                <w:b w:val="0"/>
                <w:sz w:val="21"/>
              </w:rPr>
            </w:r>
          </w:p>
        </w:tc>
        <w:tc>
          <w:tcPr>
            <w:tcW w:type="dxa" w:w="4649"/>
            <w:vAlign w:val="center"/>
            <w:tcMar>
              <w:top w:w="100" w:type="dxa"/>
              <w:left w:w="100" w:type="dxa"/>
              <w:bottom w:w="100" w:type="dxa"/>
              <w:right w:w="100" w:type="dxa"/>
            </w:tcMar>
            <w:shd w:fill="F5F7F9"/>
            <w:tcBorders>
              <w:top w:val="single" w:sz="4" w:color="D9D9D9"/>
              <w:left w:val="single" w:sz="4" w:color="D9D9D9"/>
              <w:bottom w:val="single" w:sz="4" w:color="D9D9D9"/>
              <w:right w:val="single" w:sz="4" w:color="D9D9D9"/>
            </w:tcBorders>
          </w:tcPr>
          <w:p>
            <w:pPr>
              <w:spacing w:after="40" w:line="247" w:lineRule="auto"/>
            </w:pPr>
            <w:r>
              <w:rPr>
                <w:b w:val="0"/>
                <w:sz w:val="21"/>
              </w:rPr>
              <w:t>Aide et contrôle final</w:t>
            </w:r>
          </w:p>
        </w:tc>
        <w:tc>
          <w:tcPr>
            <w:tcW w:type="dxa" w:w="624"/>
            <w:vAlign w:val="center"/>
            <w:tcMar>
              <w:top w:w="100" w:type="dxa"/>
              <w:left w:w="100" w:type="dxa"/>
              <w:bottom w:w="100" w:type="dxa"/>
              <w:right w:w="100" w:type="dxa"/>
            </w:tcMar>
            <w:shd w:fill="F5F7F9"/>
            <w:tcBorders>
              <w:top w:val="single" w:sz="4" w:color="D9D9D9"/>
              <w:left w:val="single" w:sz="4" w:color="D9D9D9"/>
              <w:bottom w:val="single" w:sz="4" w:color="D9D9D9"/>
              <w:right w:val="single" w:sz="4" w:color="D9D9D9"/>
            </w:tcBorders>
          </w:tcPr>
          <w:p>
            <w:pPr>
              <w:spacing w:after="40" w:line="247" w:lineRule="auto"/>
            </w:pPr>
            <w:r>
              <w:rPr>
                <w:b w:val="0"/>
                <w:sz w:val="21"/>
              </w:rPr>
              <w:t>12</w:t>
            </w:r>
          </w:p>
        </w:tc>
      </w:tr>
    </w:tbl>
    <w:p>
      <w:pPr>
        <w:spacing w:after="0"/>
      </w:pPr>
    </w:p>
    <w:p>
      <w:r>
        <w:rPr>
          <w:b w:val="0"/>
        </w:rPr>
        <w:t>État du site confirmé le 21 octobre : les cinq migrations des 20 et 21 octobre sont appliquées et les traitements planifiés activés. Vérifiez les réglages des rappels du centre et la réception réelle avec le référent technique.</w:t>
      </w:r>
    </w:p>
    <w:p>
      <w:r>
        <w:br w:type="page"/>
      </w:r>
    </w:p>
    <w:p>
      <w:pPr>
        <w:pStyle w:val="Heading1"/>
      </w:pPr>
      <w:r>
        <w:t>Accéder à votre espace</w:t>
      </w:r>
    </w:p>
    <w:p>
      <w:pPr>
        <w:pStyle w:val="Heading2"/>
      </w:pPr>
      <w:r>
        <w:t>Première connexion</w:t>
      </w:r>
    </w:p>
    <w:p>
      <w:pPr>
        <w:ind w:left="272" w:hanging="272"/>
      </w:pPr>
      <w:r>
        <w:rPr>
          <w:b/>
        </w:rPr>
        <w:t xml:space="preserve">1. </w:t>
      </w:r>
      <w:r>
        <w:t>Ouvrez l’adresse DispoSP transmise par votre centre.</w:t>
      </w:r>
    </w:p>
    <w:p>
      <w:pPr>
        <w:ind w:left="272" w:hanging="272"/>
      </w:pPr>
      <w:r>
        <w:rPr>
          <w:b/>
        </w:rPr>
        <w:t xml:space="preserve">2. </w:t>
      </w:r>
      <w:r>
        <w:t>Depuis votre invitation, choisissez vous-même votre mot de passe, puis connectez-vous. Utilisez le parcours de réinitialisation en cas d’oubli.</w:t>
      </w:r>
    </w:p>
    <w:p>
      <w:pPr>
        <w:ind w:left="272" w:hanging="272"/>
      </w:pPr>
      <w:r>
        <w:rPr>
          <w:b/>
        </w:rPr>
        <w:t xml:space="preserve">3. </w:t>
      </w:r>
      <w:r>
        <w:t>Vérifiez le nom du centre et votre rôle : Gestionnaire ou Administrateur.</w:t>
      </w:r>
    </w:p>
    <w:p>
      <w:pPr>
        <w:ind w:left="272" w:hanging="272"/>
      </w:pPr>
      <w:r>
        <w:rPr>
          <w:b/>
        </w:rPr>
        <w:t xml:space="preserve">4. </w:t>
      </w:r>
      <w:r>
        <w:t>Sélectionnez la campagne concernée ; vérifiez le mois et l’équipe avant toute modification.</w:t>
      </w:r>
    </w:p>
    <w:p>
      <w:r>
        <w:rPr>
          <w:b w:val="0"/>
        </w:rPr>
        <w:t>Un compte en attente de rattachement nécessite l’intervention de l’administrateur. Si aucune campagne n’existe encore, le référent technique doit préparer le premier démarrage.</w:t>
      </w:r>
    </w:p>
    <w:p>
      <w:pPr>
        <w:pStyle w:val="Heading2"/>
      </w:pPr>
      <w:r>
        <w:t>Les rubriques de votre menu</w:t>
      </w:r>
    </w:p>
    <w:tbl>
      <w:tblPr>
        <w:tblW w:type="auto" w:w="0"/>
        <w:jc w:val="center"/>
        <w:tblLayout w:type="fixed"/>
        <w:tblLook w:firstColumn="1" w:firstRow="1" w:lastColumn="0" w:lastRow="0" w:noHBand="0" w:noVBand="1" w:val="04A0"/>
      </w:tblPr>
      <w:tblGrid>
        <w:gridCol w:w="3005"/>
        <w:gridCol w:w="6633"/>
      </w:tblGrid>
      <w:tr>
        <w:trPr>
          <w:cantSplit/>
          <w:tblHeader/>
        </w:trPr>
        <w:tc>
          <w:tcPr>
            <w:tcW w:type="dxa" w:w="3005"/>
            <w:vAlign w:val="center"/>
            <w:tcMar>
              <w:top w:w="100" w:type="dxa"/>
              <w:left w:w="100" w:type="dxa"/>
              <w:bottom w:w="100" w:type="dxa"/>
              <w:right w:w="100" w:type="dxa"/>
            </w:tcMar>
            <w:shd w:fill="DCE7EF"/>
            <w:tcBorders>
              <w:top w:val="single" w:sz="4" w:color="D9D9D9"/>
              <w:left w:val="single" w:sz="4" w:color="D9D9D9"/>
              <w:bottom w:val="single" w:sz="4" w:color="D9D9D9"/>
              <w:right w:val="single" w:sz="4" w:color="D9D9D9"/>
            </w:tcBorders>
          </w:tcPr>
          <w:p>
            <w:pPr>
              <w:spacing w:after="40" w:line="247" w:lineRule="auto"/>
            </w:pPr>
            <w:r>
              <w:rPr>
                <w:b/>
                <w:sz w:val="21"/>
              </w:rPr>
              <w:t>Rubrique</w:t>
            </w:r>
          </w:p>
        </w:tc>
        <w:tc>
          <w:tcPr>
            <w:tcW w:type="dxa" w:w="6633"/>
            <w:vAlign w:val="center"/>
            <w:tcMar>
              <w:top w:w="100" w:type="dxa"/>
              <w:left w:w="100" w:type="dxa"/>
              <w:bottom w:w="100" w:type="dxa"/>
              <w:right w:w="100" w:type="dxa"/>
            </w:tcMar>
            <w:shd w:fill="DCE7EF"/>
            <w:tcBorders>
              <w:top w:val="single" w:sz="4" w:color="D9D9D9"/>
              <w:left w:val="single" w:sz="4" w:color="D9D9D9"/>
              <w:bottom w:val="single" w:sz="4" w:color="D9D9D9"/>
              <w:right w:val="single" w:sz="4" w:color="D9D9D9"/>
            </w:tcBorders>
          </w:tcPr>
          <w:p>
            <w:pPr>
              <w:spacing w:after="40" w:line="247" w:lineRule="auto"/>
            </w:pPr>
            <w:r>
              <w:rPr>
                <w:b/>
                <w:sz w:val="21"/>
              </w:rPr>
              <w:t>Utilisation</w:t>
            </w:r>
          </w:p>
        </w:tc>
      </w:tr>
      <w:tr>
        <w:trPr>
          <w:cantSplit/>
        </w:trPr>
        <w:tc>
          <w:tcPr>
            <w:tcW w:type="dxa" w:w="3005"/>
            <w:vAlign w:val="center"/>
            <w:tcMar>
              <w:top w:w="100" w:type="dxa"/>
              <w:left w:w="100" w:type="dxa"/>
              <w:bottom w:w="100" w:type="dxa"/>
              <w:right w:w="100" w:type="dxa"/>
            </w:tcMar>
            <w:shd w:fill="FFFFFF"/>
            <w:tcBorders>
              <w:top w:val="single" w:sz="4" w:color="D9D9D9"/>
              <w:left w:val="single" w:sz="4" w:color="D9D9D9"/>
              <w:bottom w:val="single" w:sz="4" w:color="D9D9D9"/>
              <w:right w:val="single" w:sz="4" w:color="D9D9D9"/>
            </w:tcBorders>
          </w:tcPr>
          <w:p>
            <w:pPr>
              <w:spacing w:after="40" w:line="247" w:lineRule="auto"/>
            </w:pPr>
            <w:r>
              <w:rPr>
                <w:b w:val="0"/>
                <w:sz w:val="21"/>
              </w:rPr>
              <w:t>Tableau de bord</w:t>
            </w:r>
          </w:p>
        </w:tc>
        <w:tc>
          <w:tcPr>
            <w:tcW w:type="dxa" w:w="6633"/>
            <w:vAlign w:val="center"/>
            <w:tcMar>
              <w:top w:w="100" w:type="dxa"/>
              <w:left w:w="100" w:type="dxa"/>
              <w:bottom w:w="100" w:type="dxa"/>
              <w:right w:w="100" w:type="dxa"/>
            </w:tcMar>
            <w:shd w:fill="FFFFFF"/>
            <w:tcBorders>
              <w:top w:val="single" w:sz="4" w:color="D9D9D9"/>
              <w:left w:val="single" w:sz="4" w:color="D9D9D9"/>
              <w:bottom w:val="single" w:sz="4" w:color="D9D9D9"/>
              <w:right w:val="single" w:sz="4" w:color="D9D9D9"/>
            </w:tcBorders>
          </w:tcPr>
          <w:p>
            <w:pPr>
              <w:spacing w:after="40" w:line="247" w:lineRule="auto"/>
            </w:pPr>
            <w:r>
              <w:rPr>
                <w:b w:val="0"/>
                <w:sz w:val="21"/>
              </w:rPr>
              <w:t>Réponses manquantes et indicateurs de couverture.</w:t>
            </w:r>
          </w:p>
        </w:tc>
      </w:tr>
      <w:tr>
        <w:trPr>
          <w:cantSplit/>
        </w:trPr>
        <w:tc>
          <w:tcPr>
            <w:tcW w:type="dxa" w:w="3005"/>
            <w:vAlign w:val="center"/>
            <w:tcMar>
              <w:top w:w="100" w:type="dxa"/>
              <w:left w:w="100" w:type="dxa"/>
              <w:bottom w:w="100" w:type="dxa"/>
              <w:right w:w="100" w:type="dxa"/>
            </w:tcMar>
            <w:shd w:fill="F5F7F9"/>
            <w:tcBorders>
              <w:top w:val="single" w:sz="4" w:color="D9D9D9"/>
              <w:left w:val="single" w:sz="4" w:color="D9D9D9"/>
              <w:bottom w:val="single" w:sz="4" w:color="D9D9D9"/>
              <w:right w:val="single" w:sz="4" w:color="D9D9D9"/>
            </w:tcBorders>
          </w:tcPr>
          <w:p>
            <w:pPr>
              <w:spacing w:after="40" w:line="247" w:lineRule="auto"/>
            </w:pPr>
            <w:r>
              <w:rPr>
                <w:b w:val="0"/>
                <w:sz w:val="21"/>
              </w:rPr>
              <w:t>Disponibilités</w:t>
            </w:r>
          </w:p>
        </w:tc>
        <w:tc>
          <w:tcPr>
            <w:tcW w:type="dxa" w:w="6633"/>
            <w:vAlign w:val="center"/>
            <w:tcMar>
              <w:top w:w="100" w:type="dxa"/>
              <w:left w:w="100" w:type="dxa"/>
              <w:bottom w:w="100" w:type="dxa"/>
              <w:right w:w="100" w:type="dxa"/>
            </w:tcMar>
            <w:shd w:fill="F5F7F9"/>
            <w:tcBorders>
              <w:top w:val="single" w:sz="4" w:color="D9D9D9"/>
              <w:left w:val="single" w:sz="4" w:color="D9D9D9"/>
              <w:bottom w:val="single" w:sz="4" w:color="D9D9D9"/>
              <w:right w:val="single" w:sz="4" w:color="D9D9D9"/>
            </w:tcBorders>
          </w:tcPr>
          <w:p>
            <w:pPr>
              <w:spacing w:after="40" w:line="247" w:lineRule="auto"/>
            </w:pPr>
            <w:r>
              <w:rPr>
                <w:b w:val="0"/>
                <w:sz w:val="21"/>
              </w:rPr>
              <w:t>Matrice mensuelle et listes par journée.</w:t>
            </w:r>
          </w:p>
        </w:tc>
      </w:tr>
      <w:tr>
        <w:trPr>
          <w:cantSplit/>
        </w:trPr>
        <w:tc>
          <w:tcPr>
            <w:tcW w:type="dxa" w:w="3005"/>
            <w:vAlign w:val="center"/>
            <w:tcMar>
              <w:top w:w="100" w:type="dxa"/>
              <w:left w:w="100" w:type="dxa"/>
              <w:bottom w:w="100" w:type="dxa"/>
              <w:right w:w="100" w:type="dxa"/>
            </w:tcMar>
            <w:shd w:fill="FFFFFF"/>
            <w:tcBorders>
              <w:top w:val="single" w:sz="4" w:color="D9D9D9"/>
              <w:left w:val="single" w:sz="4" w:color="D9D9D9"/>
              <w:bottom w:val="single" w:sz="4" w:color="D9D9D9"/>
              <w:right w:val="single" w:sz="4" w:color="D9D9D9"/>
            </w:tcBorders>
          </w:tcPr>
          <w:p>
            <w:pPr>
              <w:spacing w:after="40" w:line="247" w:lineRule="auto"/>
            </w:pPr>
            <w:r>
              <w:rPr>
                <w:b w:val="0"/>
                <w:sz w:val="21"/>
              </w:rPr>
              <w:t>Planning</w:t>
            </w:r>
          </w:p>
        </w:tc>
        <w:tc>
          <w:tcPr>
            <w:tcW w:type="dxa" w:w="6633"/>
            <w:vAlign w:val="center"/>
            <w:tcMar>
              <w:top w:w="100" w:type="dxa"/>
              <w:left w:w="100" w:type="dxa"/>
              <w:bottom w:w="100" w:type="dxa"/>
              <w:right w:w="100" w:type="dxa"/>
            </w:tcMar>
            <w:shd w:fill="FFFFFF"/>
            <w:tcBorders>
              <w:top w:val="single" w:sz="4" w:color="D9D9D9"/>
              <w:left w:val="single" w:sz="4" w:color="D9D9D9"/>
              <w:bottom w:val="single" w:sz="4" w:color="D9D9D9"/>
              <w:right w:val="single" w:sz="4" w:color="D9D9D9"/>
            </w:tcBorders>
          </w:tcPr>
          <w:p>
            <w:pPr>
              <w:spacing w:after="40" w:line="247" w:lineRule="auto"/>
            </w:pPr>
            <w:r>
              <w:rPr>
                <w:b w:val="0"/>
                <w:sz w:val="21"/>
              </w:rPr>
              <w:t>Brouillon, publication du mois et suivi des appels.</w:t>
            </w:r>
          </w:p>
        </w:tc>
      </w:tr>
      <w:tr>
        <w:trPr>
          <w:cantSplit/>
        </w:trPr>
        <w:tc>
          <w:tcPr>
            <w:tcW w:type="dxa" w:w="3005"/>
            <w:vAlign w:val="center"/>
            <w:tcMar>
              <w:top w:w="100" w:type="dxa"/>
              <w:left w:w="100" w:type="dxa"/>
              <w:bottom w:w="100" w:type="dxa"/>
              <w:right w:w="100" w:type="dxa"/>
            </w:tcMar>
            <w:shd w:fill="F5F7F9"/>
            <w:tcBorders>
              <w:top w:val="single" w:sz="4" w:color="D9D9D9"/>
              <w:left w:val="single" w:sz="4" w:color="D9D9D9"/>
              <w:bottom w:val="single" w:sz="4" w:color="D9D9D9"/>
              <w:right w:val="single" w:sz="4" w:color="D9D9D9"/>
            </w:tcBorders>
          </w:tcPr>
          <w:p>
            <w:pPr>
              <w:spacing w:after="40" w:line="247" w:lineRule="auto"/>
            </w:pPr>
            <w:r>
              <w:rPr>
                <w:b w:val="0"/>
                <w:sz w:val="21"/>
              </w:rPr>
              <w:t>Désistements</w:t>
            </w:r>
          </w:p>
        </w:tc>
        <w:tc>
          <w:tcPr>
            <w:tcW w:type="dxa" w:w="6633"/>
            <w:vAlign w:val="center"/>
            <w:tcMar>
              <w:top w:w="100" w:type="dxa"/>
              <w:left w:w="100" w:type="dxa"/>
              <w:bottom w:w="100" w:type="dxa"/>
              <w:right w:w="100" w:type="dxa"/>
            </w:tcMar>
            <w:shd w:fill="F5F7F9"/>
            <w:tcBorders>
              <w:top w:val="single" w:sz="4" w:color="D9D9D9"/>
              <w:left w:val="single" w:sz="4" w:color="D9D9D9"/>
              <w:bottom w:val="single" w:sz="4" w:color="D9D9D9"/>
              <w:right w:val="single" w:sz="4" w:color="D9D9D9"/>
            </w:tcBorders>
          </w:tcPr>
          <w:p>
            <w:pPr>
              <w:spacing w:after="40" w:line="247" w:lineRule="auto"/>
            </w:pPr>
            <w:r>
              <w:rPr>
                <w:b w:val="0"/>
                <w:sz w:val="21"/>
              </w:rPr>
              <w:t>Demandes à accepter ou à refuser.</w:t>
            </w:r>
          </w:p>
        </w:tc>
      </w:tr>
      <w:tr>
        <w:trPr>
          <w:cantSplit/>
        </w:trPr>
        <w:tc>
          <w:tcPr>
            <w:tcW w:type="dxa" w:w="3005"/>
            <w:vAlign w:val="center"/>
            <w:tcMar>
              <w:top w:w="100" w:type="dxa"/>
              <w:left w:w="100" w:type="dxa"/>
              <w:bottom w:w="100" w:type="dxa"/>
              <w:right w:w="100" w:type="dxa"/>
            </w:tcMar>
            <w:shd w:fill="FFFFFF"/>
            <w:tcBorders>
              <w:top w:val="single" w:sz="4" w:color="D9D9D9"/>
              <w:left w:val="single" w:sz="4" w:color="D9D9D9"/>
              <w:bottom w:val="single" w:sz="4" w:color="D9D9D9"/>
              <w:right w:val="single" w:sz="4" w:color="D9D9D9"/>
            </w:tcBorders>
          </w:tcPr>
          <w:p>
            <w:pPr>
              <w:spacing w:after="40" w:line="247" w:lineRule="auto"/>
            </w:pPr>
            <w:r>
              <w:rPr>
                <w:b w:val="0"/>
                <w:sz w:val="21"/>
              </w:rPr>
              <w:t>Besoins et Campagnes</w:t>
            </w:r>
          </w:p>
        </w:tc>
        <w:tc>
          <w:tcPr>
            <w:tcW w:type="dxa" w:w="6633"/>
            <w:vAlign w:val="center"/>
            <w:tcMar>
              <w:top w:w="100" w:type="dxa"/>
              <w:left w:w="100" w:type="dxa"/>
              <w:bottom w:w="100" w:type="dxa"/>
              <w:right w:w="100" w:type="dxa"/>
            </w:tcMar>
            <w:shd w:fill="FFFFFF"/>
            <w:tcBorders>
              <w:top w:val="single" w:sz="4" w:color="D9D9D9"/>
              <w:left w:val="single" w:sz="4" w:color="D9D9D9"/>
              <w:bottom w:val="single" w:sz="4" w:color="D9D9D9"/>
              <w:right w:val="single" w:sz="4" w:color="D9D9D9"/>
            </w:tcBorders>
          </w:tcPr>
          <w:p>
            <w:pPr>
              <w:spacing w:after="40" w:line="247" w:lineRule="auto"/>
            </w:pPr>
            <w:r>
              <w:rPr>
                <w:b w:val="0"/>
                <w:sz w:val="21"/>
              </w:rPr>
              <w:t>Minima, période de collecte et verrouillage.</w:t>
            </w:r>
          </w:p>
        </w:tc>
      </w:tr>
      <w:tr>
        <w:trPr>
          <w:cantSplit/>
        </w:trPr>
        <w:tc>
          <w:tcPr>
            <w:tcW w:type="dxa" w:w="3005"/>
            <w:vAlign w:val="center"/>
            <w:tcMar>
              <w:top w:w="100" w:type="dxa"/>
              <w:left w:w="100" w:type="dxa"/>
              <w:bottom w:w="100" w:type="dxa"/>
              <w:right w:w="100" w:type="dxa"/>
            </w:tcMar>
            <w:shd w:fill="F5F7F9"/>
            <w:tcBorders>
              <w:top w:val="single" w:sz="4" w:color="D9D9D9"/>
              <w:left w:val="single" w:sz="4" w:color="D9D9D9"/>
              <w:bottom w:val="single" w:sz="4" w:color="D9D9D9"/>
              <w:right w:val="single" w:sz="4" w:color="D9D9D9"/>
            </w:tcBorders>
          </w:tcPr>
          <w:p>
            <w:pPr>
              <w:spacing w:after="40" w:line="247" w:lineRule="auto"/>
            </w:pPr>
            <w:r>
              <w:rPr>
                <w:b w:val="0"/>
                <w:sz w:val="21"/>
              </w:rPr>
              <w:t>Agents &amp; équipes</w:t>
            </w:r>
          </w:p>
        </w:tc>
        <w:tc>
          <w:tcPr>
            <w:tcW w:type="dxa" w:w="6633"/>
            <w:vAlign w:val="center"/>
            <w:tcMar>
              <w:top w:w="100" w:type="dxa"/>
              <w:left w:w="100" w:type="dxa"/>
              <w:bottom w:w="100" w:type="dxa"/>
              <w:right w:w="100" w:type="dxa"/>
            </w:tcMar>
            <w:shd w:fill="F5F7F9"/>
            <w:tcBorders>
              <w:top w:val="single" w:sz="4" w:color="D9D9D9"/>
              <w:left w:val="single" w:sz="4" w:color="D9D9D9"/>
              <w:bottom w:val="single" w:sz="4" w:color="D9D9D9"/>
              <w:right w:val="single" w:sz="4" w:color="D9D9D9"/>
            </w:tcBorders>
          </w:tcPr>
          <w:p>
            <w:pPr>
              <w:spacing w:after="40" w:line="247" w:lineRule="auto"/>
            </w:pPr>
            <w:r>
              <w:rPr>
                <w:b w:val="0"/>
                <w:sz w:val="21"/>
              </w:rPr>
              <w:t>Invitations, fiches, qualifications et équipes.</w:t>
            </w:r>
          </w:p>
        </w:tc>
      </w:tr>
      <w:tr>
        <w:trPr>
          <w:cantSplit/>
        </w:trPr>
        <w:tc>
          <w:tcPr>
            <w:tcW w:type="dxa" w:w="3005"/>
            <w:vAlign w:val="center"/>
            <w:tcMar>
              <w:top w:w="100" w:type="dxa"/>
              <w:left w:w="100" w:type="dxa"/>
              <w:bottom w:w="100" w:type="dxa"/>
              <w:right w:w="100" w:type="dxa"/>
            </w:tcMar>
            <w:shd w:fill="FFFFFF"/>
            <w:tcBorders>
              <w:top w:val="single" w:sz="4" w:color="D9D9D9"/>
              <w:left w:val="single" w:sz="4" w:color="D9D9D9"/>
              <w:bottom w:val="single" w:sz="4" w:color="D9D9D9"/>
              <w:right w:val="single" w:sz="4" w:color="D9D9D9"/>
            </w:tcBorders>
          </w:tcPr>
          <w:p>
            <w:pPr>
              <w:spacing w:after="40" w:line="247" w:lineRule="auto"/>
            </w:pPr>
            <w:r>
              <w:rPr>
                <w:b w:val="0"/>
                <w:sz w:val="21"/>
              </w:rPr>
              <w:t>Mon profil</w:t>
            </w:r>
          </w:p>
        </w:tc>
        <w:tc>
          <w:tcPr>
            <w:tcW w:type="dxa" w:w="6633"/>
            <w:vAlign w:val="center"/>
            <w:tcMar>
              <w:top w:w="100" w:type="dxa"/>
              <w:left w:w="100" w:type="dxa"/>
              <w:bottom w:w="100" w:type="dxa"/>
              <w:right w:w="100" w:type="dxa"/>
            </w:tcMar>
            <w:shd w:fill="FFFFFF"/>
            <w:tcBorders>
              <w:top w:val="single" w:sz="4" w:color="D9D9D9"/>
              <w:left w:val="single" w:sz="4" w:color="D9D9D9"/>
              <w:bottom w:val="single" w:sz="4" w:color="D9D9D9"/>
              <w:right w:val="single" w:sz="4" w:color="D9D9D9"/>
            </w:tcBorders>
          </w:tcPr>
          <w:p>
            <w:pPr>
              <w:spacing w:after="40" w:line="247" w:lineRule="auto"/>
            </w:pPr>
            <w:r>
              <w:rPr>
                <w:b w:val="0"/>
                <w:sz w:val="21"/>
              </w:rPr>
              <w:t>Fiche personnelle, installation et notifications du téléphone.</w:t>
            </w:r>
          </w:p>
        </w:tc>
      </w:tr>
      <w:tr>
        <w:trPr>
          <w:cantSplit/>
        </w:trPr>
        <w:tc>
          <w:tcPr>
            <w:tcW w:type="dxa" w:w="3005"/>
            <w:vAlign w:val="center"/>
            <w:tcMar>
              <w:top w:w="100" w:type="dxa"/>
              <w:left w:w="100" w:type="dxa"/>
              <w:bottom w:w="100" w:type="dxa"/>
              <w:right w:w="100" w:type="dxa"/>
            </w:tcMar>
            <w:shd w:fill="F5F7F9"/>
            <w:tcBorders>
              <w:top w:val="single" w:sz="4" w:color="D9D9D9"/>
              <w:left w:val="single" w:sz="4" w:color="D9D9D9"/>
              <w:bottom w:val="single" w:sz="4" w:color="D9D9D9"/>
              <w:right w:val="single" w:sz="4" w:color="D9D9D9"/>
            </w:tcBorders>
          </w:tcPr>
          <w:p>
            <w:pPr>
              <w:spacing w:after="40" w:line="247" w:lineRule="auto"/>
            </w:pPr>
            <w:r>
              <w:rPr>
                <w:b w:val="0"/>
                <w:sz w:val="21"/>
              </w:rPr>
              <w:t>Statistiques et Historique</w:t>
            </w:r>
          </w:p>
        </w:tc>
        <w:tc>
          <w:tcPr>
            <w:tcW w:type="dxa" w:w="6633"/>
            <w:vAlign w:val="center"/>
            <w:tcMar>
              <w:top w:w="100" w:type="dxa"/>
              <w:left w:w="100" w:type="dxa"/>
              <w:bottom w:w="100" w:type="dxa"/>
              <w:right w:w="100" w:type="dxa"/>
            </w:tcMar>
            <w:shd w:fill="F5F7F9"/>
            <w:tcBorders>
              <w:top w:val="single" w:sz="4" w:color="D9D9D9"/>
              <w:left w:val="single" w:sz="4" w:color="D9D9D9"/>
              <w:bottom w:val="single" w:sz="4" w:color="D9D9D9"/>
              <w:right w:val="single" w:sz="4" w:color="D9D9D9"/>
            </w:tcBorders>
          </w:tcPr>
          <w:p>
            <w:pPr>
              <w:spacing w:after="40" w:line="247" w:lineRule="auto"/>
            </w:pPr>
            <w:r>
              <w:rPr>
                <w:b w:val="0"/>
                <w:sz w:val="21"/>
              </w:rPr>
              <w:t>Indicateurs existants et traces des actions.</w:t>
            </w:r>
          </w:p>
        </w:tc>
      </w:tr>
      <w:tr>
        <w:trPr>
          <w:cantSplit/>
        </w:trPr>
        <w:tc>
          <w:tcPr>
            <w:tcW w:type="dxa" w:w="3005"/>
            <w:vAlign w:val="center"/>
            <w:tcMar>
              <w:top w:w="100" w:type="dxa"/>
              <w:left w:w="100" w:type="dxa"/>
              <w:bottom w:w="100" w:type="dxa"/>
              <w:right w:w="100" w:type="dxa"/>
            </w:tcMar>
            <w:shd w:fill="FFFFFF"/>
            <w:tcBorders>
              <w:top w:val="single" w:sz="4" w:color="D9D9D9"/>
              <w:left w:val="single" w:sz="4" w:color="D9D9D9"/>
              <w:bottom w:val="single" w:sz="4" w:color="D9D9D9"/>
              <w:right w:val="single" w:sz="4" w:color="D9D9D9"/>
            </w:tcBorders>
          </w:tcPr>
          <w:p>
            <w:pPr>
              <w:spacing w:after="40" w:line="247" w:lineRule="auto"/>
            </w:pPr>
            <w:r>
              <w:rPr>
                <w:b w:val="0"/>
                <w:sz w:val="21"/>
              </w:rPr>
              <w:t>Paramètres</w:t>
            </w:r>
          </w:p>
        </w:tc>
        <w:tc>
          <w:tcPr>
            <w:tcW w:type="dxa" w:w="6633"/>
            <w:vAlign w:val="center"/>
            <w:tcMar>
              <w:top w:w="100" w:type="dxa"/>
              <w:left w:w="100" w:type="dxa"/>
              <w:bottom w:w="100" w:type="dxa"/>
              <w:right w:w="100" w:type="dxa"/>
            </w:tcMar>
            <w:shd w:fill="FFFFFF"/>
            <w:tcBorders>
              <w:top w:val="single" w:sz="4" w:color="D9D9D9"/>
              <w:left w:val="single" w:sz="4" w:color="D9D9D9"/>
              <w:bottom w:val="single" w:sz="4" w:color="D9D9D9"/>
              <w:right w:val="single" w:sz="4" w:color="D9D9D9"/>
            </w:tcBorders>
          </w:tcPr>
          <w:p>
            <w:pPr>
              <w:spacing w:after="40" w:line="247" w:lineRule="auto"/>
            </w:pPr>
            <w:r>
              <w:rPr>
                <w:b w:val="0"/>
                <w:sz w:val="21"/>
              </w:rPr>
              <w:t>Horaires futurs, rappels automatiques et suivi des traitements.</w:t>
            </w:r>
          </w:p>
        </w:tc>
      </w:tr>
    </w:tbl>
    <w:p>
      <w:pPr>
        <w:spacing w:after="0"/>
      </w:pPr>
    </w:p>
    <w:p>
      <w:pPr>
        <w:pStyle w:val="Heading2"/>
      </w:pPr>
      <w:r>
        <w:t>Vos droits et votre rôle</w:t>
      </w:r>
    </w:p>
    <w:p>
      <w:r>
        <w:rPr>
          <w:b w:val="0"/>
        </w:rPr>
        <w:t>Vous gérez votre centre. Les rubriques regroupées sous « Administration » sont également accessibles au gestionnaire ; certains actes sur les rôles restent réservés à l’administrateur. Vous ne pouvez pas modifier votre propre rôle.</w:t>
      </w:r>
    </w:p>
    <w:p>
      <w:r>
        <w:rPr>
          <w:b w:val="0"/>
        </w:rPr>
        <w:t>L’encadrement ne prend pas de gardes dans cette version. Il ne dispose donc pas des écrans personnels de disponibilités, planning ou appels réservés aux agents. Sur téléphone, ouvrez le menu pour les rubriques absentes de la barre du bas.</w:t>
      </w:r>
    </w:p>
    <w:p>
      <w:r>
        <w:br w:type="page"/>
      </w:r>
    </w:p>
    <w:p>
      <w:pPr>
        <w:pStyle w:val="Heading1"/>
      </w:pPr>
      <w:r>
        <w:t>Préparer les agents et les équipes</w:t>
      </w:r>
    </w:p>
    <w:p>
      <w:pPr>
        <w:pStyle w:val="Heading2"/>
      </w:pPr>
      <w:r>
        <w:t>Inviter une personne</w:t>
      </w:r>
    </w:p>
    <w:p>
      <w:pPr>
        <w:ind w:left="272" w:hanging="272"/>
      </w:pPr>
      <w:r>
        <w:rPr>
          <w:b/>
        </w:rPr>
        <w:t xml:space="preserve">1. </w:t>
      </w:r>
      <w:r>
        <w:t>Ouvrez « Agents &amp; équipes », puis « Inviter un agent ».</w:t>
      </w:r>
    </w:p>
    <w:p>
      <w:pPr>
        <w:ind w:left="272" w:hanging="272"/>
      </w:pPr>
      <w:r>
        <w:rPr>
          <w:b/>
        </w:rPr>
        <w:t xml:space="preserve">2. </w:t>
      </w:r>
      <w:r>
        <w:t>Renseignez l’adresse électronique, l’identité et les informations utiles de fiche.</w:t>
      </w:r>
    </w:p>
    <w:p>
      <w:pPr>
        <w:ind w:left="272" w:hanging="272"/>
      </w:pPr>
      <w:r>
        <w:rPr>
          <w:b/>
        </w:rPr>
        <w:t xml:space="preserve">3. </w:t>
      </w:r>
      <w:r>
        <w:t>Choisissez le rôle. Un gestionnaire peut inviter un Agent ou un Gestionnaire ; seul un Administrateur peut attribuer Administrateur.</w:t>
      </w:r>
    </w:p>
    <w:p>
      <w:pPr>
        <w:ind w:left="272" w:hanging="272"/>
      </w:pPr>
      <w:r>
        <w:rPr>
          <w:b/>
        </w:rPr>
        <w:t xml:space="preserve">4. </w:t>
      </w:r>
      <w:r>
        <w:t>Cliquez sur « Envoyer l’invitation » et lisez le résultat. L’invité rejoint l’équipe de l’invitant ; sa fiche permet ensuite un changement d’équipe.</w:t>
      </w:r>
    </w:p>
    <w:p>
      <w:pPr>
        <w:ind w:left="272" w:hanging="272"/>
      </w:pPr>
      <w:r>
        <w:rPr>
          <w:b/>
        </w:rPr>
        <w:t xml:space="preserve">5. </w:t>
      </w:r>
      <w:r>
        <w:t>Après son arrivée, ouvrez « Modifier », vérifiez l’équipe, la conduite et les qualifications, puis « Enregistrer la fiche ».</w:t>
      </w:r>
    </w:p>
    <w:p>
      <w:r>
        <w:rPr>
          <w:b w:val="0"/>
        </w:rPr>
        <w:t>Ne créez pas de mot de passe à transmettre. L’agent le choisit lui-même. Un compte déjà existant et rattachable peut rejoindre le centre immédiatement sans nouveau message. Un compte actif ailleurs ne peut pas être repris directement.</w:t>
      </w:r>
    </w:p>
    <w:p>
      <w:pPr>
        <w:pStyle w:val="Heading2"/>
      </w:pPr>
      <w:r>
        <w:t>Suivre les invitations</w:t>
      </w:r>
    </w:p>
    <w:p>
      <w:r>
        <w:rPr>
          <w:b w:val="0"/>
        </w:rPr>
        <w:t>« Invitations en attente » permet de renvoyer ou d’annuler une invitation. Vérifiez l’adresse et les courriers indésirables avant un renvoi. Respectez les délais indiqués si une limite d’envoi est atteinte.</w:t>
      </w:r>
    </w:p>
    <w:p>
      <w:pPr>
        <w:pStyle w:val="Heading2"/>
      </w:pPr>
      <w:r>
        <w:t>Harmoniser les qualifications</w:t>
      </w:r>
    </w:p>
    <w:p>
      <w:r>
        <w:rPr>
          <w:b w:val="0"/>
        </w:rPr>
        <w:t>Grade, fonction et conduite sont distincts. La conduite comporte un seul choix : Aucun, COD SSR, PL, COD2 ou COD6. Les autres qualifications se cochent dans la fiche.</w:t>
      </w:r>
    </w:p>
    <w:p>
      <w:r>
        <w:rPr>
          <w:b/>
        </w:rPr>
        <w:t>Utilisez les mêmes intitulés dans les fiches et les besoins. « PL » et « Conducteur PL » sont distincts : aucune équivalence n’est déduite automatiquement.</w:t>
      </w:r>
    </w:p>
    <w:p>
      <w:pPr>
        <w:pStyle w:val="Heading2"/>
      </w:pPr>
      <w:r>
        <w:t>Déplacer désactiver ou réactiver</w:t>
      </w:r>
    </w:p>
    <w:p>
      <w:r>
        <w:rPr>
          <w:b w:val="0"/>
        </w:rPr>
        <w:t>« Nouvelle équipe » et « Renommer » organisent les équipes. Un changement d’équipe ne transfère pas les anciennes campagnes : contrôlez la participation aux campagnes en cours.</w:t>
      </w:r>
    </w:p>
    <w:p>
      <w:r>
        <w:rPr>
          <w:b w:val="0"/>
        </w:rPr>
        <w:t>Pour désactiver un agent, modifiez sa fiche et décochez « Agent actif ». Vérifiez ensuite toutes ses gardes futures, retirez-le des brouillons concernés, remplacez-le et republiez. La désactivation ne constitue pas à elle seule un remplacement.</w:t>
      </w:r>
    </w:p>
    <w:p>
      <w:r>
        <w:rPr>
          <w:b w:val="0"/>
        </w:rPr>
        <w:t>Les personnes désactivées se retrouvent dans « Agents désactivés ». La réactivation d’un Administrateur reste réservée à un Administrateur.</w:t>
      </w:r>
    </w:p>
    <w:p>
      <w:r>
        <w:br w:type="page"/>
      </w:r>
    </w:p>
    <w:p>
      <w:pPr>
        <w:pStyle w:val="Heading1"/>
      </w:pPr>
      <w:r>
        <w:t>Ouvrir la campagne et suivre les réponses</w:t>
      </w:r>
    </w:p>
    <w:p>
      <w:pPr>
        <w:pStyle w:val="Heading2"/>
      </w:pPr>
      <w:r>
        <w:t>Créer la collecte</w:t>
      </w:r>
    </w:p>
    <w:p>
      <w:pPr>
        <w:ind w:left="272" w:hanging="272"/>
      </w:pPr>
      <w:r>
        <w:rPr>
          <w:b/>
        </w:rPr>
        <w:t xml:space="preserve">1. </w:t>
      </w:r>
      <w:r>
        <w:t>Dans « Campagnes », choisissez « Nouvelle campagne ».</w:t>
      </w:r>
    </w:p>
    <w:p>
      <w:pPr>
        <w:ind w:left="272" w:hanging="272"/>
      </w:pPr>
      <w:r>
        <w:rPr>
          <w:b/>
        </w:rPr>
        <w:t xml:space="preserve">2. </w:t>
      </w:r>
      <w:r>
        <w:t>Donnez un nom clair, sélectionnez le mois et, si nécessaire, l’équipe.</w:t>
      </w:r>
    </w:p>
    <w:p>
      <w:pPr>
        <w:ind w:left="272" w:hanging="272"/>
      </w:pPr>
      <w:r>
        <w:rPr>
          <w:b/>
        </w:rPr>
        <w:t xml:space="preserve">3. </w:t>
      </w:r>
      <w:r>
        <w:t>Fixez la clôture des réponses et vérifiez les horaires affichés.</w:t>
      </w:r>
    </w:p>
    <w:p>
      <w:pPr>
        <w:ind w:left="272" w:hanging="272"/>
      </w:pPr>
      <w:r>
        <w:rPr>
          <w:b/>
        </w:rPr>
        <w:t xml:space="preserve">4. </w:t>
      </w:r>
      <w:r>
        <w:t>Cliquez sur « Créer et ouvrir la campagne », puis contrôlez les participants dans la synthèse.</w:t>
      </w:r>
    </w:p>
    <w:p>
      <w:r>
        <w:rPr>
          <w:b w:val="0"/>
        </w:rPr>
        <w:t>Une campagne concerne une équipe et un mois. Seuls les agents actifs concernés prennent part à la collecte ; l’encadrement est exclu des réponses attendues et des relances de réponse.</w:t>
      </w:r>
    </w:p>
    <w:p>
      <w:pPr>
        <w:pStyle w:val="Heading2"/>
      </w:pPr>
      <w:r>
        <w:t>Comprendre les heures et les nuits</w:t>
      </w:r>
    </w:p>
    <w:p>
      <w:r>
        <w:rPr>
          <w:b w:val="0"/>
        </w:rPr>
        <w:t>Par défaut, Jour couvre 8 h–20 h et Nuit 20 h–8 h le lendemain. La nuit du 15 commence le 15 à 20 h. Une disponibilité 24 h le 15 couvre potentiellement ces deux créneaux. Les affectations et publications restent à faire pour chacun d’eux.</w:t>
      </w:r>
    </w:p>
    <w:p>
      <w:r>
        <w:rPr>
          <w:b w:val="0"/>
        </w:rPr>
        <w:t>Dans « Paramètres », « Enregistrer les horaires » modifie les nouvelles campagnes uniquement. Les anciennes conservent leurs horaires.</w:t>
      </w:r>
    </w:p>
    <w:p>
      <w:pPr>
        <w:pStyle w:val="Heading2"/>
      </w:pPr>
      <w:r>
        <w:t>Accompagner la saisie de chaque agent</w:t>
      </w:r>
    </w:p>
    <w:p>
      <w:r>
        <w:rPr>
          <w:b w:val="0"/>
        </w:rPr>
        <w:t>Dans son écran Disponibilités, l’agent peut toucher une date ou utiliser « Saisie rapide » : « Période » applique une même valeur ; « Semaine type » répartit les valeurs par jour de semaine. « Garder comme ma semaine habituelle » prépare les mois suivants. Vérifier l’option qui conserve les journées déjà renseignées avant d’appliquer.</w:t>
      </w:r>
    </w:p>
    <w:p>
      <w:r>
        <w:rPr>
          <w:b w:val="0"/>
        </w:rPr>
        <w:t>Il doit renseigner toutes les journées puis valider explicitement. Une modification annule sa validation et demande une nouvelle validation de la campagne entière. Appliquer une semaine type ne valide pas la réponse.</w:t>
      </w:r>
    </w:p>
    <w:p>
      <w:pPr>
        <w:pStyle w:val="Heading2"/>
      </w:pPr>
      <w:r>
        <w:t>Distinguer verrouillage et clôture</w:t>
      </w:r>
    </w:p>
    <w:p>
      <w:r>
        <w:rPr>
          <w:b w:val="0"/>
        </w:rPr>
        <w:t>« Verrouiller la saisie » suspend les modifications et validations. « Déverrouiller » permet de reprendre avant l’échéance. À la date de clôture, la collecte est définitivement fermée : le verrouillage manuel n’est pas cette clôture et ne publie aucun planning.</w:t>
      </w:r>
    </w:p>
    <w:p>
      <w:r>
        <w:rPr>
          <w:b w:val="0"/>
        </w:rPr>
        <w:t>Après clôture, une disponibilité devenue possible se traite par un appel élargi et une déclaration pour cette garde, pas par une modification de la réponse mensuelle.</w:t>
      </w:r>
    </w:p>
    <w:p>
      <w:r>
        <w:br w:type="page"/>
      </w:r>
    </w:p>
    <w:p>
      <w:pPr>
        <w:pStyle w:val="Heading1"/>
      </w:pPr>
      <w:r>
        <w:t>Lire la couverture et définir les besoins</w:t>
      </w:r>
    </w:p>
    <w:p>
      <w:pPr>
        <w:pStyle w:val="Heading2"/>
      </w:pPr>
      <w:r>
        <w:t>Examiner les réponses</w:t>
      </w:r>
    </w:p>
    <w:p>
      <w:r>
        <w:rPr>
          <w:b w:val="0"/>
        </w:rPr>
        <w:t>Dans « Disponibilités », passez de « Matrice » à « Par journée », recherchez un agent et utilisez les filtres. Sur téléphone, faites défiler la grille horizontalement. Retirez les filtres si un agent paraît manquer.</w:t>
      </w:r>
    </w:p>
    <w:p>
      <w:r>
        <w:rPr>
          <w:b w:val="0"/>
        </w:rPr>
        <w:t>« Indisponible » est une réponse ; « Non renseigné » indique une journée sans réponse. Un calendrier rempli mais non validé ne fournit pas une disponibilité utilisable pour la publication ordinaire.</w:t>
      </w:r>
    </w:p>
    <w:tbl>
      <w:tblPr>
        <w:tblW w:type="auto" w:w="0"/>
        <w:jc w:val="center"/>
        <w:tblLayout w:type="fixed"/>
        <w:tblLook w:firstColumn="1" w:firstRow="1" w:lastColumn="0" w:lastRow="0" w:noHBand="0" w:noVBand="1" w:val="04A0"/>
      </w:tblPr>
      <w:tblGrid>
        <w:gridCol w:w="2494"/>
        <w:gridCol w:w="7143"/>
      </w:tblGrid>
      <w:tr>
        <w:trPr>
          <w:cantSplit/>
          <w:tblHeader/>
        </w:trPr>
        <w:tc>
          <w:tcPr>
            <w:tcW w:type="dxa" w:w="2494"/>
            <w:vAlign w:val="center"/>
            <w:tcMar>
              <w:top w:w="100" w:type="dxa"/>
              <w:left w:w="100" w:type="dxa"/>
              <w:bottom w:w="100" w:type="dxa"/>
              <w:right w:w="100" w:type="dxa"/>
            </w:tcMar>
            <w:shd w:fill="DCE7EF"/>
            <w:tcBorders>
              <w:top w:val="single" w:sz="4" w:color="D9D9D9"/>
              <w:left w:val="single" w:sz="4" w:color="D9D9D9"/>
              <w:bottom w:val="single" w:sz="4" w:color="D9D9D9"/>
              <w:right w:val="single" w:sz="4" w:color="D9D9D9"/>
            </w:tcBorders>
          </w:tcPr>
          <w:p>
            <w:pPr>
              <w:spacing w:after="40" w:line="247" w:lineRule="auto"/>
            </w:pPr>
            <w:r>
              <w:rPr>
                <w:b/>
                <w:sz w:val="21"/>
              </w:rPr>
              <w:t>Mesure</w:t>
            </w:r>
          </w:p>
        </w:tc>
        <w:tc>
          <w:tcPr>
            <w:tcW w:type="dxa" w:w="7143"/>
            <w:vAlign w:val="center"/>
            <w:tcMar>
              <w:top w:w="100" w:type="dxa"/>
              <w:left w:w="100" w:type="dxa"/>
              <w:bottom w:w="100" w:type="dxa"/>
              <w:right w:w="100" w:type="dxa"/>
            </w:tcMar>
            <w:shd w:fill="DCE7EF"/>
            <w:tcBorders>
              <w:top w:val="single" w:sz="4" w:color="D9D9D9"/>
              <w:left w:val="single" w:sz="4" w:color="D9D9D9"/>
              <w:bottom w:val="single" w:sz="4" w:color="D9D9D9"/>
              <w:right w:val="single" w:sz="4" w:color="D9D9D9"/>
            </w:tcBorders>
          </w:tcPr>
          <w:p>
            <w:pPr>
              <w:spacing w:after="40" w:line="247" w:lineRule="auto"/>
            </w:pPr>
            <w:r>
              <w:rPr>
                <w:b/>
                <w:sz w:val="21"/>
              </w:rPr>
              <w:t>Interprétation</w:t>
            </w:r>
          </w:p>
        </w:tc>
      </w:tr>
      <w:tr>
        <w:trPr>
          <w:cantSplit/>
        </w:trPr>
        <w:tc>
          <w:tcPr>
            <w:tcW w:type="dxa" w:w="2494"/>
            <w:vAlign w:val="center"/>
            <w:tcMar>
              <w:top w:w="100" w:type="dxa"/>
              <w:left w:w="100" w:type="dxa"/>
              <w:bottom w:w="100" w:type="dxa"/>
              <w:right w:w="100" w:type="dxa"/>
            </w:tcMar>
            <w:shd w:fill="FFFFFF"/>
            <w:tcBorders>
              <w:top w:val="single" w:sz="4" w:color="D9D9D9"/>
              <w:left w:val="single" w:sz="4" w:color="D9D9D9"/>
              <w:bottom w:val="single" w:sz="4" w:color="D9D9D9"/>
              <w:right w:val="single" w:sz="4" w:color="D9D9D9"/>
            </w:tcBorders>
          </w:tcPr>
          <w:p>
            <w:pPr>
              <w:spacing w:after="40" w:line="247" w:lineRule="auto"/>
            </w:pPr>
            <w:r>
              <w:rPr>
                <w:b w:val="0"/>
                <w:sz w:val="21"/>
              </w:rPr>
              <w:t>Potentielle</w:t>
            </w:r>
          </w:p>
        </w:tc>
        <w:tc>
          <w:tcPr>
            <w:tcW w:type="dxa" w:w="7143"/>
            <w:vAlign w:val="center"/>
            <w:tcMar>
              <w:top w:w="100" w:type="dxa"/>
              <w:left w:w="100" w:type="dxa"/>
              <w:bottom w:w="100" w:type="dxa"/>
              <w:right w:w="100" w:type="dxa"/>
            </w:tcMar>
            <w:shd w:fill="FFFFFF"/>
            <w:tcBorders>
              <w:top w:val="single" w:sz="4" w:color="D9D9D9"/>
              <w:left w:val="single" w:sz="4" w:color="D9D9D9"/>
              <w:bottom w:val="single" w:sz="4" w:color="D9D9D9"/>
              <w:right w:val="single" w:sz="4" w:color="D9D9D9"/>
            </w:tcBorders>
          </w:tcPr>
          <w:p>
            <w:pPr>
              <w:spacing w:after="40" w:line="247" w:lineRule="auto"/>
            </w:pPr>
            <w:r>
              <w:rPr>
                <w:b w:val="0"/>
                <w:sz w:val="21"/>
              </w:rPr>
              <w:t>Les disponibilités validées, sans garantie d’affectation.</w:t>
            </w:r>
          </w:p>
        </w:tc>
      </w:tr>
      <w:tr>
        <w:trPr>
          <w:cantSplit/>
        </w:trPr>
        <w:tc>
          <w:tcPr>
            <w:tcW w:type="dxa" w:w="2494"/>
            <w:vAlign w:val="center"/>
            <w:tcMar>
              <w:top w:w="100" w:type="dxa"/>
              <w:left w:w="100" w:type="dxa"/>
              <w:bottom w:w="100" w:type="dxa"/>
              <w:right w:w="100" w:type="dxa"/>
            </w:tcMar>
            <w:shd w:fill="F5F7F9"/>
            <w:tcBorders>
              <w:top w:val="single" w:sz="4" w:color="D9D9D9"/>
              <w:left w:val="single" w:sz="4" w:color="D9D9D9"/>
              <w:bottom w:val="single" w:sz="4" w:color="D9D9D9"/>
              <w:right w:val="single" w:sz="4" w:color="D9D9D9"/>
            </w:tcBorders>
          </w:tcPr>
          <w:p>
            <w:pPr>
              <w:spacing w:after="40" w:line="247" w:lineRule="auto"/>
            </w:pPr>
            <w:r>
              <w:rPr>
                <w:b w:val="0"/>
                <w:sz w:val="21"/>
              </w:rPr>
              <w:t>Planifiée</w:t>
            </w:r>
          </w:p>
        </w:tc>
        <w:tc>
          <w:tcPr>
            <w:tcW w:type="dxa" w:w="7143"/>
            <w:vAlign w:val="center"/>
            <w:tcMar>
              <w:top w:w="100" w:type="dxa"/>
              <w:left w:w="100" w:type="dxa"/>
              <w:bottom w:w="100" w:type="dxa"/>
              <w:right w:w="100" w:type="dxa"/>
            </w:tcMar>
            <w:shd w:fill="F5F7F9"/>
            <w:tcBorders>
              <w:top w:val="single" w:sz="4" w:color="D9D9D9"/>
              <w:left w:val="single" w:sz="4" w:color="D9D9D9"/>
              <w:bottom w:val="single" w:sz="4" w:color="D9D9D9"/>
              <w:right w:val="single" w:sz="4" w:color="D9D9D9"/>
            </w:tcBorders>
          </w:tcPr>
          <w:p>
            <w:pPr>
              <w:spacing w:after="40" w:line="247" w:lineRule="auto"/>
            </w:pPr>
            <w:r>
              <w:rPr>
                <w:b w:val="0"/>
                <w:sz w:val="21"/>
              </w:rPr>
              <w:t>Les affectations du brouillon, sans garantie de publication.</w:t>
            </w:r>
          </w:p>
        </w:tc>
      </w:tr>
      <w:tr>
        <w:trPr>
          <w:cantSplit/>
        </w:trPr>
        <w:tc>
          <w:tcPr>
            <w:tcW w:type="dxa" w:w="2494"/>
            <w:vAlign w:val="center"/>
            <w:tcMar>
              <w:top w:w="100" w:type="dxa"/>
              <w:left w:w="100" w:type="dxa"/>
              <w:bottom w:w="100" w:type="dxa"/>
              <w:right w:w="100" w:type="dxa"/>
            </w:tcMar>
            <w:shd w:fill="FFFFFF"/>
            <w:tcBorders>
              <w:top w:val="single" w:sz="4" w:color="D9D9D9"/>
              <w:left w:val="single" w:sz="4" w:color="D9D9D9"/>
              <w:bottom w:val="single" w:sz="4" w:color="D9D9D9"/>
              <w:right w:val="single" w:sz="4" w:color="D9D9D9"/>
            </w:tcBorders>
          </w:tcPr>
          <w:p>
            <w:pPr>
              <w:spacing w:after="40" w:line="247" w:lineRule="auto"/>
            </w:pPr>
            <w:r>
              <w:rPr>
                <w:b w:val="0"/>
                <w:sz w:val="21"/>
              </w:rPr>
              <w:t>Publiée</w:t>
            </w:r>
          </w:p>
        </w:tc>
        <w:tc>
          <w:tcPr>
            <w:tcW w:type="dxa" w:w="7143"/>
            <w:vAlign w:val="center"/>
            <w:tcMar>
              <w:top w:w="100" w:type="dxa"/>
              <w:left w:w="100" w:type="dxa"/>
              <w:bottom w:w="100" w:type="dxa"/>
              <w:right w:w="100" w:type="dxa"/>
            </w:tcMar>
            <w:shd w:fill="FFFFFF"/>
            <w:tcBorders>
              <w:top w:val="single" w:sz="4" w:color="D9D9D9"/>
              <w:left w:val="single" w:sz="4" w:color="D9D9D9"/>
              <w:bottom w:val="single" w:sz="4" w:color="D9D9D9"/>
              <w:right w:val="single" w:sz="4" w:color="D9D9D9"/>
            </w:tcBorders>
          </w:tcPr>
          <w:p>
            <w:pPr>
              <w:spacing w:after="40" w:line="247" w:lineRule="auto"/>
            </w:pPr>
            <w:r>
              <w:rPr>
                <w:b w:val="0"/>
                <w:sz w:val="21"/>
              </w:rPr>
              <w:t>La version confirmée, à consulter séparément.</w:t>
            </w:r>
          </w:p>
        </w:tc>
      </w:tr>
    </w:tbl>
    <w:p>
      <w:pPr>
        <w:spacing w:after="0"/>
      </w:pPr>
    </w:p>
    <w:p>
      <w:r>
        <w:rPr>
          <w:b w:val="0"/>
        </w:rPr>
        <w:t>Exemple : besoin de 8, disponibles validés 8, affectés 6. Il reste deux affectations à préparer, même si la couverture potentielle est complète. Les minima de qualification peuvent aussi rester insuffisants.</w:t>
      </w:r>
    </w:p>
    <w:p>
      <w:pPr>
        <w:pStyle w:val="Heading2"/>
      </w:pPr>
      <w:r>
        <w:t>Renseigner les besoins du mois</w:t>
      </w:r>
    </w:p>
    <w:p>
      <w:pPr>
        <w:ind w:left="272" w:hanging="272"/>
      </w:pPr>
      <w:r>
        <w:rPr>
          <w:b/>
        </w:rPr>
        <w:t xml:space="preserve">1. </w:t>
      </w:r>
      <w:r>
        <w:t>Ouvrez « Besoins », puis « Appliquer à plusieurs journées ».</w:t>
      </w:r>
    </w:p>
    <w:p>
      <w:pPr>
        <w:ind w:left="272" w:hanging="272"/>
      </w:pPr>
      <w:r>
        <w:rPr>
          <w:b/>
        </w:rPr>
        <w:t xml:space="preserve">2. </w:t>
      </w:r>
      <w:r>
        <w:t>Choisissez tout le mois ou certains jours de semaine, puis Jour, Nuit ou les deux.</w:t>
      </w:r>
    </w:p>
    <w:p>
      <w:pPr>
        <w:ind w:left="272" w:hanging="272"/>
      </w:pPr>
      <w:r>
        <w:rPr>
          <w:b/>
        </w:rPr>
        <w:t xml:space="preserve">3. </w:t>
      </w:r>
      <w:r>
        <w:t>Renseignez l’effectif attendu et les minima par qualification. Corrigez les valeurs préremplies.</w:t>
      </w:r>
    </w:p>
    <w:p>
      <w:pPr>
        <w:ind w:left="272" w:hanging="272"/>
      </w:pPr>
      <w:r>
        <w:rPr>
          <w:b/>
        </w:rPr>
        <w:t xml:space="preserve">4. </w:t>
      </w:r>
      <w:r>
        <w:t>Relisez le nombre de créneaux, cliquez sur « Appliquer », puis confirmez le remplacement des besoins existants.</w:t>
      </w:r>
    </w:p>
    <w:p>
      <w:pPr>
        <w:ind w:left="272" w:hanging="272"/>
      </w:pPr>
      <w:r>
        <w:rPr>
          <w:b/>
        </w:rPr>
        <w:t xml:space="preserve">5. </w:t>
      </w:r>
      <w:r>
        <w:t>Contrôlez les exceptions dans le tableau ; pour une garde isolée, utilisez « Définir les besoins » ou « Modifier les besoins » dans Planning.</w:t>
      </w:r>
    </w:p>
    <w:p>
      <w:r>
        <w:rPr>
          <w:b/>
        </w:rPr>
        <w:t>Un lot remplace les besoins sélectionnés. En cas d’échec, certains créneaux peuvent déjà être enregistrés : vérifiez-les avant de recommencer. Chaque créneau conserve un besoin cohérent.</w:t>
      </w:r>
    </w:p>
    <w:p>
      <w:pPr>
        <w:pStyle w:val="Heading2"/>
      </w:pPr>
      <w:r>
        <w:t>Lire les minima et les états</w:t>
      </w:r>
    </w:p>
    <w:p>
      <w:r>
        <w:rPr>
          <w:b w:val="0"/>
        </w:rPr>
        <w:t>Pour six agents, trois SAP et un PL : il faut six personnes, dont trois SAP et une PL. Une personne peut couvrir plusieurs qualifications. Chaque minimum doit rester inférieur ou égal à l’effectif total.</w:t>
      </w:r>
    </w:p>
    <w:p>
      <w:r>
        <w:rPr>
          <w:b w:val="0"/>
        </w:rPr>
        <w:t>« Besoins non définis » demande une saisie. « Déficit » signale un manque. « Limite » indique une couverture sans marge. « Couvert » indique une marge selon les critères calculés ; il faut encore vérifier puis publier le brouillon.</w:t>
      </w:r>
    </w:p>
    <w:p>
      <w:r>
        <w:br w:type="page"/>
      </w:r>
    </w:p>
    <w:p>
      <w:pPr>
        <w:pStyle w:val="Heading1"/>
      </w:pPr>
      <w:r>
        <w:t>Composer une garde et contrôler le repos</w:t>
      </w:r>
    </w:p>
    <w:p>
      <w:pPr>
        <w:pStyle w:val="Heading2"/>
      </w:pPr>
      <w:r>
        <w:t>Préparer le brouillon</w:t>
      </w:r>
    </w:p>
    <w:p>
      <w:pPr>
        <w:ind w:left="272" w:hanging="272"/>
      </w:pPr>
      <w:r>
        <w:rPr>
          <w:b/>
        </w:rPr>
        <w:t xml:space="preserve">1. </w:t>
      </w:r>
      <w:r>
        <w:t>Dans « Planning », sélectionnez la date et le créneau Jour ou Nuit.</w:t>
      </w:r>
    </w:p>
    <w:p>
      <w:pPr>
        <w:ind w:left="272" w:hanging="272"/>
      </w:pPr>
      <w:r>
        <w:rPr>
          <w:b/>
        </w:rPr>
        <w:t xml:space="preserve">2. </w:t>
      </w:r>
      <w:r>
        <w:t>Vérifiez les besoins puis consultez les agents disponibles et leurs qualifications.</w:t>
      </w:r>
    </w:p>
    <w:p>
      <w:pPr>
        <w:ind w:left="272" w:hanging="272"/>
      </w:pPr>
      <w:r>
        <w:rPr>
          <w:b/>
        </w:rPr>
        <w:t xml:space="preserve">3. </w:t>
      </w:r>
      <w:r>
        <w:t>Affectez les agents au brouillon et retirez ceux qui ne doivent plus tenir la garde.</w:t>
      </w:r>
    </w:p>
    <w:p>
      <w:pPr>
        <w:ind w:left="272" w:hanging="272"/>
      </w:pPr>
      <w:r>
        <w:rPr>
          <w:b/>
        </w:rPr>
        <w:t xml:space="preserve">4. </w:t>
      </w:r>
      <w:r>
        <w:t>Contrôlez l’effectif, les minima, les disponibilités et la répartition de charge avant publication.</w:t>
      </w:r>
    </w:p>
    <w:p>
      <w:r>
        <w:rPr>
          <w:b w:val="0"/>
        </w:rPr>
        <w:t>Le brouillon sert à préparer vos choix. Il n’apparaît pas encore dans le planning personnel. Une qualification acquise ou une disponibilité modifiée peut changer l’éligibilité : la base recontrôle au moment de publier.</w:t>
      </w:r>
    </w:p>
    <w:p>
      <w:pPr>
        <w:pStyle w:val="Heading2"/>
      </w:pPr>
      <w:r>
        <w:t>Appliquer la règle de repos du centre</w:t>
      </w:r>
    </w:p>
    <w:p>
      <w:r>
        <w:rPr>
          <w:b w:val="0"/>
        </w:rPr>
        <w:t>Le repos après une garde doit être au moins égal à la durée de cette garde. Les calculs utilisent les horaires de campagne. Avec 8 h–20 h et 20 h–8 h, les exemples suivants s’appliquent :</w:t>
      </w:r>
    </w:p>
    <w:tbl>
      <w:tblPr>
        <w:tblW w:type="auto" w:w="0"/>
        <w:jc w:val="center"/>
        <w:tblLayout w:type="fixed"/>
        <w:tblLook w:firstColumn="1" w:firstRow="1" w:lastColumn="0" w:lastRow="0" w:noHBand="0" w:noVBand="1" w:val="04A0"/>
      </w:tblPr>
      <w:tblGrid>
        <w:gridCol w:w="4535"/>
        <w:gridCol w:w="5102"/>
      </w:tblGrid>
      <w:tr>
        <w:trPr>
          <w:cantSplit/>
          <w:tblHeader/>
        </w:trPr>
        <w:tc>
          <w:tcPr>
            <w:tcW w:type="dxa" w:w="4535"/>
            <w:vAlign w:val="center"/>
            <w:tcMar>
              <w:top w:w="100" w:type="dxa"/>
              <w:left w:w="100" w:type="dxa"/>
              <w:bottom w:w="100" w:type="dxa"/>
              <w:right w:w="100" w:type="dxa"/>
            </w:tcMar>
            <w:shd w:fill="DCE7EF"/>
            <w:tcBorders>
              <w:top w:val="single" w:sz="4" w:color="D9D9D9"/>
              <w:left w:val="single" w:sz="4" w:color="D9D9D9"/>
              <w:bottom w:val="single" w:sz="4" w:color="D9D9D9"/>
              <w:right w:val="single" w:sz="4" w:color="D9D9D9"/>
            </w:tcBorders>
          </w:tcPr>
          <w:p>
            <w:pPr>
              <w:spacing w:after="40" w:line="247" w:lineRule="auto"/>
            </w:pPr>
            <w:r>
              <w:rPr>
                <w:b/>
                <w:sz w:val="21"/>
              </w:rPr>
              <w:t>Enchaînement</w:t>
            </w:r>
          </w:p>
        </w:tc>
        <w:tc>
          <w:tcPr>
            <w:tcW w:type="dxa" w:w="5102"/>
            <w:vAlign w:val="center"/>
            <w:tcMar>
              <w:top w:w="100" w:type="dxa"/>
              <w:left w:w="100" w:type="dxa"/>
              <w:bottom w:w="100" w:type="dxa"/>
              <w:right w:w="100" w:type="dxa"/>
            </w:tcMar>
            <w:shd w:fill="DCE7EF"/>
            <w:tcBorders>
              <w:top w:val="single" w:sz="4" w:color="D9D9D9"/>
              <w:left w:val="single" w:sz="4" w:color="D9D9D9"/>
              <w:bottom w:val="single" w:sz="4" w:color="D9D9D9"/>
              <w:right w:val="single" w:sz="4" w:color="D9D9D9"/>
            </w:tcBorders>
          </w:tcPr>
          <w:p>
            <w:pPr>
              <w:spacing w:after="40" w:line="247" w:lineRule="auto"/>
            </w:pPr>
            <w:r>
              <w:rPr>
                <w:b/>
                <w:sz w:val="21"/>
              </w:rPr>
              <w:t>Conséquence</w:t>
            </w:r>
          </w:p>
        </w:tc>
      </w:tr>
      <w:tr>
        <w:trPr>
          <w:cantSplit/>
        </w:trPr>
        <w:tc>
          <w:tcPr>
            <w:tcW w:type="dxa" w:w="4535"/>
            <w:vAlign w:val="center"/>
            <w:tcMar>
              <w:top w:w="100" w:type="dxa"/>
              <w:left w:w="100" w:type="dxa"/>
              <w:bottom w:w="100" w:type="dxa"/>
              <w:right w:w="100" w:type="dxa"/>
            </w:tcMar>
            <w:shd w:fill="FFFFFF"/>
            <w:tcBorders>
              <w:top w:val="single" w:sz="4" w:color="D9D9D9"/>
              <w:left w:val="single" w:sz="4" w:color="D9D9D9"/>
              <w:bottom w:val="single" w:sz="4" w:color="D9D9D9"/>
              <w:right w:val="single" w:sz="4" w:color="D9D9D9"/>
            </w:tcBorders>
          </w:tcPr>
          <w:p>
            <w:pPr>
              <w:spacing w:after="40" w:line="247" w:lineRule="auto"/>
            </w:pPr>
            <w:r>
              <w:rPr>
                <w:b w:val="0"/>
                <w:sz w:val="21"/>
              </w:rPr>
              <w:t>Jour du 12 puis Nuit du 12</w:t>
            </w:r>
          </w:p>
        </w:tc>
        <w:tc>
          <w:tcPr>
            <w:tcW w:type="dxa" w:w="5102"/>
            <w:vAlign w:val="center"/>
            <w:tcMar>
              <w:top w:w="100" w:type="dxa"/>
              <w:left w:w="100" w:type="dxa"/>
              <w:bottom w:w="100" w:type="dxa"/>
              <w:right w:w="100" w:type="dxa"/>
            </w:tcMar>
            <w:shd w:fill="FFFFFF"/>
            <w:tcBorders>
              <w:top w:val="single" w:sz="4" w:color="D9D9D9"/>
              <w:left w:val="single" w:sz="4" w:color="D9D9D9"/>
              <w:bottom w:val="single" w:sz="4" w:color="D9D9D9"/>
              <w:right w:val="single" w:sz="4" w:color="D9D9D9"/>
            </w:tcBorders>
          </w:tcPr>
          <w:p>
            <w:pPr>
              <w:spacing w:after="40" w:line="247" w:lineRule="auto"/>
            </w:pPr>
            <w:r>
              <w:rPr>
                <w:b w:val="0"/>
                <w:sz w:val="21"/>
              </w:rPr>
              <w:t>Garde de 24 h possible ; repos de 24 h ensuite.</w:t>
            </w:r>
          </w:p>
        </w:tc>
      </w:tr>
      <w:tr>
        <w:trPr>
          <w:cantSplit/>
        </w:trPr>
        <w:tc>
          <w:tcPr>
            <w:tcW w:type="dxa" w:w="4535"/>
            <w:vAlign w:val="center"/>
            <w:tcMar>
              <w:top w:w="100" w:type="dxa"/>
              <w:left w:w="100" w:type="dxa"/>
              <w:bottom w:w="100" w:type="dxa"/>
              <w:right w:w="100" w:type="dxa"/>
            </w:tcMar>
            <w:shd w:fill="F5F7F9"/>
            <w:tcBorders>
              <w:top w:val="single" w:sz="4" w:color="D9D9D9"/>
              <w:left w:val="single" w:sz="4" w:color="D9D9D9"/>
              <w:bottom w:val="single" w:sz="4" w:color="D9D9D9"/>
              <w:right w:val="single" w:sz="4" w:color="D9D9D9"/>
            </w:tcBorders>
          </w:tcPr>
          <w:p>
            <w:pPr>
              <w:spacing w:after="40" w:line="247" w:lineRule="auto"/>
            </w:pPr>
            <w:r>
              <w:rPr>
                <w:b w:val="0"/>
                <w:sz w:val="21"/>
              </w:rPr>
              <w:t>Nuit du 12 puis Jour du 13</w:t>
            </w:r>
          </w:p>
        </w:tc>
        <w:tc>
          <w:tcPr>
            <w:tcW w:type="dxa" w:w="5102"/>
            <w:vAlign w:val="center"/>
            <w:tcMar>
              <w:top w:w="100" w:type="dxa"/>
              <w:left w:w="100" w:type="dxa"/>
              <w:bottom w:w="100" w:type="dxa"/>
              <w:right w:w="100" w:type="dxa"/>
            </w:tcMar>
            <w:shd w:fill="F5F7F9"/>
            <w:tcBorders>
              <w:top w:val="single" w:sz="4" w:color="D9D9D9"/>
              <w:left w:val="single" w:sz="4" w:color="D9D9D9"/>
              <w:bottom w:val="single" w:sz="4" w:color="D9D9D9"/>
              <w:right w:val="single" w:sz="4" w:color="D9D9D9"/>
            </w:tcBorders>
          </w:tcPr>
          <w:p>
            <w:pPr>
              <w:spacing w:after="40" w:line="247" w:lineRule="auto"/>
            </w:pPr>
            <w:r>
              <w:rPr>
                <w:b w:val="0"/>
                <w:sz w:val="21"/>
              </w:rPr>
              <w:t>Refus : aucun repos entre les deux gardes.</w:t>
            </w:r>
          </w:p>
        </w:tc>
      </w:tr>
      <w:tr>
        <w:trPr>
          <w:cantSplit/>
        </w:trPr>
        <w:tc>
          <w:tcPr>
            <w:tcW w:type="dxa" w:w="4535"/>
            <w:vAlign w:val="center"/>
            <w:tcMar>
              <w:top w:w="100" w:type="dxa"/>
              <w:left w:w="100" w:type="dxa"/>
              <w:bottom w:w="100" w:type="dxa"/>
              <w:right w:w="100" w:type="dxa"/>
            </w:tcMar>
            <w:shd w:fill="FFFFFF"/>
            <w:tcBorders>
              <w:top w:val="single" w:sz="4" w:color="D9D9D9"/>
              <w:left w:val="single" w:sz="4" w:color="D9D9D9"/>
              <w:bottom w:val="single" w:sz="4" w:color="D9D9D9"/>
              <w:right w:val="single" w:sz="4" w:color="D9D9D9"/>
            </w:tcBorders>
          </w:tcPr>
          <w:p>
            <w:pPr>
              <w:spacing w:after="40" w:line="247" w:lineRule="auto"/>
            </w:pPr>
            <w:r>
              <w:rPr>
                <w:b w:val="0"/>
                <w:sz w:val="21"/>
              </w:rPr>
              <w:t>Jour du 12 puis Jour du 13</w:t>
            </w:r>
          </w:p>
        </w:tc>
        <w:tc>
          <w:tcPr>
            <w:tcW w:type="dxa" w:w="5102"/>
            <w:vAlign w:val="center"/>
            <w:tcMar>
              <w:top w:w="100" w:type="dxa"/>
              <w:left w:w="100" w:type="dxa"/>
              <w:bottom w:w="100" w:type="dxa"/>
              <w:right w:w="100" w:type="dxa"/>
            </w:tcMar>
            <w:shd w:fill="FFFFFF"/>
            <w:tcBorders>
              <w:top w:val="single" w:sz="4" w:color="D9D9D9"/>
              <w:left w:val="single" w:sz="4" w:color="D9D9D9"/>
              <w:bottom w:val="single" w:sz="4" w:color="D9D9D9"/>
              <w:right w:val="single" w:sz="4" w:color="D9D9D9"/>
            </w:tcBorders>
          </w:tcPr>
          <w:p>
            <w:pPr>
              <w:spacing w:after="40" w:line="247" w:lineRule="auto"/>
            </w:pPr>
            <w:r>
              <w:rPr>
                <w:b w:val="0"/>
                <w:sz w:val="21"/>
              </w:rPr>
              <w:t>12 h de garde, puis 12 h de repos.</w:t>
            </w:r>
          </w:p>
        </w:tc>
      </w:tr>
      <w:tr>
        <w:trPr>
          <w:cantSplit/>
        </w:trPr>
        <w:tc>
          <w:tcPr>
            <w:tcW w:type="dxa" w:w="4535"/>
            <w:vAlign w:val="center"/>
            <w:tcMar>
              <w:top w:w="100" w:type="dxa"/>
              <w:left w:w="100" w:type="dxa"/>
              <w:bottom w:w="100" w:type="dxa"/>
              <w:right w:w="100" w:type="dxa"/>
            </w:tcMar>
            <w:shd w:fill="F5F7F9"/>
            <w:tcBorders>
              <w:top w:val="single" w:sz="4" w:color="D9D9D9"/>
              <w:left w:val="single" w:sz="4" w:color="D9D9D9"/>
              <w:bottom w:val="single" w:sz="4" w:color="D9D9D9"/>
              <w:right w:val="single" w:sz="4" w:color="D9D9D9"/>
            </w:tcBorders>
          </w:tcPr>
          <w:p>
            <w:pPr>
              <w:spacing w:after="40" w:line="247" w:lineRule="auto"/>
            </w:pPr>
            <w:r>
              <w:rPr>
                <w:b w:val="0"/>
                <w:sz w:val="21"/>
              </w:rPr>
              <w:t>24 h du 12 puis Jour du 13</w:t>
            </w:r>
          </w:p>
        </w:tc>
        <w:tc>
          <w:tcPr>
            <w:tcW w:type="dxa" w:w="5102"/>
            <w:vAlign w:val="center"/>
            <w:tcMar>
              <w:top w:w="100" w:type="dxa"/>
              <w:left w:w="100" w:type="dxa"/>
              <w:bottom w:w="100" w:type="dxa"/>
              <w:right w:w="100" w:type="dxa"/>
            </w:tcMar>
            <w:shd w:fill="F5F7F9"/>
            <w:tcBorders>
              <w:top w:val="single" w:sz="4" w:color="D9D9D9"/>
              <w:left w:val="single" w:sz="4" w:color="D9D9D9"/>
              <w:bottom w:val="single" w:sz="4" w:color="D9D9D9"/>
              <w:right w:val="single" w:sz="4" w:color="D9D9D9"/>
            </w:tcBorders>
          </w:tcPr>
          <w:p>
            <w:pPr>
              <w:spacing w:after="40" w:line="247" w:lineRule="auto"/>
            </w:pPr>
            <w:r>
              <w:rPr>
                <w:b w:val="0"/>
                <w:sz w:val="21"/>
              </w:rPr>
              <w:t>Refus : les 24 h de repos ne sont pas écoulées.</w:t>
            </w:r>
          </w:p>
        </w:tc>
      </w:tr>
    </w:tbl>
    <w:p>
      <w:pPr>
        <w:spacing w:after="0"/>
      </w:pPr>
    </w:p>
    <w:p>
      <w:r>
        <w:rPr>
          <w:b w:val="0"/>
        </w:rPr>
        <w:t>Un chevauchement est également refusé. Les autres engagements non enregistrés dans DispoSP restent à vérifier avec l’agent. Le message de refus peut nommer la garde à l’origine du conflit.</w:t>
      </w:r>
    </w:p>
    <w:p>
      <w:pPr>
        <w:pStyle w:val="Heading2"/>
      </w:pPr>
      <w:r>
        <w:t>Publier un créneau ou préparer une révision</w:t>
      </w:r>
    </w:p>
    <w:p>
      <w:r>
        <w:rPr>
          <w:b w:val="0"/>
        </w:rPr>
        <w:t>La publication unitaire reste disponible. Vérifiez l’équipe retenue, puis confirmez la publication. Pour un mois entier, utilisez le parcours de la page suivante.</w:t>
      </w:r>
    </w:p>
    <w:p>
      <w:r>
        <w:rPr>
          <w:b w:val="0"/>
        </w:rPr>
        <w:t>Pour modifier une garde déjà publiée, préparez le nouveau brouillon puis republiez. Tant que vous ne le faites pas, la publication précédente reste la référence. Si un agent a été relevé par un désistement accepté, vérifiez aussi l’état de sa demande et ne lui demandez pas de tenir la garde au seul motif que son nom figure dans une ancienne version.</w:t>
      </w:r>
    </w:p>
    <w:p>
      <w:r>
        <w:br w:type="page"/>
      </w:r>
    </w:p>
    <w:p>
      <w:pPr>
        <w:pStyle w:val="Heading1"/>
      </w:pPr>
      <w:r>
        <w:t>Publier les créneaux prêts du mois</w:t>
      </w:r>
    </w:p>
    <w:p>
      <w:pPr>
        <w:pStyle w:val="Heading2"/>
      </w:pPr>
      <w:r>
        <w:t>Ouvrir et lire le récapitulatif</w:t>
      </w:r>
    </w:p>
    <w:p>
      <w:pPr>
        <w:ind w:left="272" w:hanging="272"/>
      </w:pPr>
      <w:r>
        <w:rPr>
          <w:b/>
        </w:rPr>
        <w:t xml:space="preserve">1. </w:t>
      </w:r>
      <w:r>
        <w:t>Dans « Planning », vérifiez la campagne sélectionnée : cette opération concerne cette équipe et ce mois.</w:t>
      </w:r>
    </w:p>
    <w:p>
      <w:pPr>
        <w:ind w:left="272" w:hanging="272"/>
      </w:pPr>
      <w:r>
        <w:rPr>
          <w:b/>
        </w:rPr>
        <w:t xml:space="preserve">2. </w:t>
      </w:r>
      <w:r>
        <w:t>Cliquez sur « Publier le mois ». Attendez le calcul de l’aperçu.</w:t>
      </w:r>
    </w:p>
    <w:p>
      <w:pPr>
        <w:ind w:left="272" w:hanging="272"/>
      </w:pPr>
      <w:r>
        <w:rPr>
          <w:b/>
        </w:rPr>
        <w:t xml:space="preserve">3. </w:t>
      </w:r>
      <w:r>
        <w:t>Lisez les nombres de créneaux prêts, bloqués et inchangés.</w:t>
      </w:r>
    </w:p>
    <w:p>
      <w:pPr>
        <w:ind w:left="272" w:hanging="272"/>
      </w:pPr>
      <w:r>
        <w:rPr>
          <w:b/>
        </w:rPr>
        <w:t xml:space="preserve">4. </w:t>
      </w:r>
      <w:r>
        <w:t>Ouvrez les créneaux bloqués pour comprendre les motifs. Corrigez les gardes nécessaires, puis relancez l’aperçu.</w:t>
      </w:r>
    </w:p>
    <w:p>
      <w:pPr>
        <w:ind w:left="272" w:hanging="272"/>
      </w:pPr>
      <w:r>
        <w:rPr>
          <w:b/>
        </w:rPr>
        <w:t xml:space="preserve">5. </w:t>
      </w:r>
      <w:r>
        <w:t>Confirmez le bouton indiquant le nombre exact, par exemple « Publier les 48 créneaux prêts ».</w:t>
      </w:r>
    </w:p>
    <w:tbl>
      <w:tblPr>
        <w:tblW w:type="auto" w:w="0"/>
        <w:jc w:val="center"/>
        <w:tblLayout w:type="fixed"/>
        <w:tblLook w:firstColumn="1" w:firstRow="1" w:lastColumn="0" w:lastRow="0" w:noHBand="0" w:noVBand="1" w:val="04A0"/>
      </w:tblPr>
      <w:tblGrid>
        <w:gridCol w:w="2268"/>
        <w:gridCol w:w="7370"/>
      </w:tblGrid>
      <w:tr>
        <w:trPr>
          <w:cantSplit/>
          <w:tblHeader/>
        </w:trPr>
        <w:tc>
          <w:tcPr>
            <w:tcW w:type="dxa" w:w="2268"/>
            <w:vAlign w:val="center"/>
            <w:tcMar>
              <w:top w:w="100" w:type="dxa"/>
              <w:left w:w="100" w:type="dxa"/>
              <w:bottom w:w="100" w:type="dxa"/>
              <w:right w:w="100" w:type="dxa"/>
            </w:tcMar>
            <w:shd w:fill="DCE7EF"/>
            <w:tcBorders>
              <w:top w:val="single" w:sz="4" w:color="D9D9D9"/>
              <w:left w:val="single" w:sz="4" w:color="D9D9D9"/>
              <w:bottom w:val="single" w:sz="4" w:color="D9D9D9"/>
              <w:right w:val="single" w:sz="4" w:color="D9D9D9"/>
            </w:tcBorders>
          </w:tcPr>
          <w:p>
            <w:pPr>
              <w:spacing w:after="40" w:line="247" w:lineRule="auto"/>
            </w:pPr>
            <w:r>
              <w:rPr>
                <w:b/>
                <w:sz w:val="21"/>
              </w:rPr>
              <w:t>État</w:t>
            </w:r>
          </w:p>
        </w:tc>
        <w:tc>
          <w:tcPr>
            <w:tcW w:type="dxa" w:w="7370"/>
            <w:vAlign w:val="center"/>
            <w:tcMar>
              <w:top w:w="100" w:type="dxa"/>
              <w:left w:w="100" w:type="dxa"/>
              <w:bottom w:w="100" w:type="dxa"/>
              <w:right w:w="100" w:type="dxa"/>
            </w:tcMar>
            <w:shd w:fill="DCE7EF"/>
            <w:tcBorders>
              <w:top w:val="single" w:sz="4" w:color="D9D9D9"/>
              <w:left w:val="single" w:sz="4" w:color="D9D9D9"/>
              <w:bottom w:val="single" w:sz="4" w:color="D9D9D9"/>
              <w:right w:val="single" w:sz="4" w:color="D9D9D9"/>
            </w:tcBorders>
          </w:tcPr>
          <w:p>
            <w:pPr>
              <w:spacing w:after="40" w:line="247" w:lineRule="auto"/>
            </w:pPr>
            <w:r>
              <w:rPr>
                <w:b/>
                <w:sz w:val="21"/>
              </w:rPr>
              <w:t>Ce qui se passe</w:t>
            </w:r>
          </w:p>
        </w:tc>
      </w:tr>
      <w:tr>
        <w:trPr>
          <w:cantSplit/>
        </w:trPr>
        <w:tc>
          <w:tcPr>
            <w:tcW w:type="dxa" w:w="2268"/>
            <w:vAlign w:val="center"/>
            <w:tcMar>
              <w:top w:w="100" w:type="dxa"/>
              <w:left w:w="100" w:type="dxa"/>
              <w:bottom w:w="100" w:type="dxa"/>
              <w:right w:w="100" w:type="dxa"/>
            </w:tcMar>
            <w:shd w:fill="FFFFFF"/>
            <w:tcBorders>
              <w:top w:val="single" w:sz="4" w:color="D9D9D9"/>
              <w:left w:val="single" w:sz="4" w:color="D9D9D9"/>
              <w:bottom w:val="single" w:sz="4" w:color="D9D9D9"/>
              <w:right w:val="single" w:sz="4" w:color="D9D9D9"/>
            </w:tcBorders>
          </w:tcPr>
          <w:p>
            <w:pPr>
              <w:spacing w:after="40" w:line="247" w:lineRule="auto"/>
            </w:pPr>
            <w:r>
              <w:rPr>
                <w:b w:val="0"/>
                <w:sz w:val="21"/>
              </w:rPr>
              <w:t>Prêt</w:t>
            </w:r>
          </w:p>
        </w:tc>
        <w:tc>
          <w:tcPr>
            <w:tcW w:type="dxa" w:w="7370"/>
            <w:vAlign w:val="center"/>
            <w:tcMar>
              <w:top w:w="100" w:type="dxa"/>
              <w:left w:w="100" w:type="dxa"/>
              <w:bottom w:w="100" w:type="dxa"/>
              <w:right w:w="100" w:type="dxa"/>
            </w:tcMar>
            <w:shd w:fill="FFFFFF"/>
            <w:tcBorders>
              <w:top w:val="single" w:sz="4" w:color="D9D9D9"/>
              <w:left w:val="single" w:sz="4" w:color="D9D9D9"/>
              <w:bottom w:val="single" w:sz="4" w:color="D9D9D9"/>
              <w:right w:val="single" w:sz="4" w:color="D9D9D9"/>
            </w:tcBorders>
          </w:tcPr>
          <w:p>
            <w:pPr>
              <w:spacing w:after="40" w:line="247" w:lineRule="auto"/>
            </w:pPr>
            <w:r>
              <w:rPr>
                <w:b w:val="0"/>
                <w:sz w:val="21"/>
              </w:rPr>
              <w:t>Le créneau nouveau ou modifié peut être publié avec les autres créneaux retenus.</w:t>
            </w:r>
          </w:p>
        </w:tc>
      </w:tr>
      <w:tr>
        <w:trPr>
          <w:cantSplit/>
        </w:trPr>
        <w:tc>
          <w:tcPr>
            <w:tcW w:type="dxa" w:w="2268"/>
            <w:vAlign w:val="center"/>
            <w:tcMar>
              <w:top w:w="100" w:type="dxa"/>
              <w:left w:w="100" w:type="dxa"/>
              <w:bottom w:w="100" w:type="dxa"/>
              <w:right w:w="100" w:type="dxa"/>
            </w:tcMar>
            <w:shd w:fill="F5F7F9"/>
            <w:tcBorders>
              <w:top w:val="single" w:sz="4" w:color="D9D9D9"/>
              <w:left w:val="single" w:sz="4" w:color="D9D9D9"/>
              <w:bottom w:val="single" w:sz="4" w:color="D9D9D9"/>
              <w:right w:val="single" w:sz="4" w:color="D9D9D9"/>
            </w:tcBorders>
          </w:tcPr>
          <w:p>
            <w:pPr>
              <w:spacing w:after="40" w:line="247" w:lineRule="auto"/>
            </w:pPr>
            <w:r>
              <w:rPr>
                <w:b w:val="0"/>
                <w:sz w:val="21"/>
              </w:rPr>
              <w:t>Bloqué</w:t>
            </w:r>
          </w:p>
        </w:tc>
        <w:tc>
          <w:tcPr>
            <w:tcW w:type="dxa" w:w="7370"/>
            <w:vAlign w:val="center"/>
            <w:tcMar>
              <w:top w:w="100" w:type="dxa"/>
              <w:left w:w="100" w:type="dxa"/>
              <w:bottom w:w="100" w:type="dxa"/>
              <w:right w:w="100" w:type="dxa"/>
            </w:tcMar>
            <w:shd w:fill="F5F7F9"/>
            <w:tcBorders>
              <w:top w:val="single" w:sz="4" w:color="D9D9D9"/>
              <w:left w:val="single" w:sz="4" w:color="D9D9D9"/>
              <w:bottom w:val="single" w:sz="4" w:color="D9D9D9"/>
              <w:right w:val="single" w:sz="4" w:color="D9D9D9"/>
            </w:tcBorders>
          </w:tcPr>
          <w:p>
            <w:pPr>
              <w:spacing w:after="40" w:line="247" w:lineRule="auto"/>
            </w:pPr>
            <w:r>
              <w:rPr>
                <w:b w:val="0"/>
                <w:sz w:val="21"/>
              </w:rPr>
              <w:t>Il reste dans son état précédent. Une publication existante est conservée.</w:t>
            </w:r>
          </w:p>
        </w:tc>
      </w:tr>
      <w:tr>
        <w:trPr>
          <w:cantSplit/>
        </w:trPr>
        <w:tc>
          <w:tcPr>
            <w:tcW w:type="dxa" w:w="2268"/>
            <w:vAlign w:val="center"/>
            <w:tcMar>
              <w:top w:w="100" w:type="dxa"/>
              <w:left w:w="100" w:type="dxa"/>
              <w:bottom w:w="100" w:type="dxa"/>
              <w:right w:w="100" w:type="dxa"/>
            </w:tcMar>
            <w:shd w:fill="FFFFFF"/>
            <w:tcBorders>
              <w:top w:val="single" w:sz="4" w:color="D9D9D9"/>
              <w:left w:val="single" w:sz="4" w:color="D9D9D9"/>
              <w:bottom w:val="single" w:sz="4" w:color="D9D9D9"/>
              <w:right w:val="single" w:sz="4" w:color="D9D9D9"/>
            </w:tcBorders>
          </w:tcPr>
          <w:p>
            <w:pPr>
              <w:spacing w:after="40" w:line="247" w:lineRule="auto"/>
            </w:pPr>
            <w:r>
              <w:rPr>
                <w:b w:val="0"/>
                <w:sz w:val="21"/>
              </w:rPr>
              <w:t>Inchangé</w:t>
            </w:r>
          </w:p>
        </w:tc>
        <w:tc>
          <w:tcPr>
            <w:tcW w:type="dxa" w:w="7370"/>
            <w:vAlign w:val="center"/>
            <w:tcMar>
              <w:top w:w="100" w:type="dxa"/>
              <w:left w:w="100" w:type="dxa"/>
              <w:bottom w:w="100" w:type="dxa"/>
              <w:right w:w="100" w:type="dxa"/>
            </w:tcMar>
            <w:shd w:fill="FFFFFF"/>
            <w:tcBorders>
              <w:top w:val="single" w:sz="4" w:color="D9D9D9"/>
              <w:left w:val="single" w:sz="4" w:color="D9D9D9"/>
              <w:bottom w:val="single" w:sz="4" w:color="D9D9D9"/>
              <w:right w:val="single" w:sz="4" w:color="D9D9D9"/>
            </w:tcBorders>
          </w:tcPr>
          <w:p>
            <w:pPr>
              <w:spacing w:after="40" w:line="247" w:lineRule="auto"/>
            </w:pPr>
            <w:r>
              <w:rPr>
                <w:b w:val="0"/>
                <w:sz w:val="21"/>
              </w:rPr>
              <w:t>Il est déjà publié tel quel ; aucune nouvelle publication n’est nécessaire.</w:t>
            </w:r>
          </w:p>
        </w:tc>
      </w:tr>
    </w:tbl>
    <w:p>
      <w:pPr>
        <w:spacing w:after="0"/>
      </w:pPr>
    </w:p>
    <w:p>
      <w:pPr>
        <w:pStyle w:val="Heading2"/>
      </w:pPr>
      <w:r>
        <w:t>Pourquoi une garde est bloquée</w:t>
      </w:r>
    </w:p>
    <w:p>
      <w:pPr>
        <w:pStyle w:val="ListBullet"/>
      </w:pPr>
      <w:r>
        <w:t>Besoins non définis, effectif incomplet ou qualification manquante.</w:t>
      </w:r>
    </w:p>
    <w:p>
      <w:pPr>
        <w:pStyle w:val="ListBullet"/>
      </w:pPr>
      <w:r>
        <w:t>Disponibilité devenue invalide, agent inactif ou désistement accepté encore présent au brouillon.</w:t>
      </w:r>
    </w:p>
    <w:p>
      <w:pPr>
        <w:pStyle w:val="ListBullet"/>
      </w:pPr>
      <w:r>
        <w:t>Chevauchement ou repos insuffisant avec une garde publiée ou un autre créneau du lot.</w:t>
      </w:r>
    </w:p>
    <w:p>
      <w:r>
        <w:rPr>
          <w:b w:val="0"/>
        </w:rPr>
        <w:t>La publication mensuelle ne dispense d’aucun contrôle. Elle peut publier les gardes prêtes sans attendre que tout le mois soit complet.</w:t>
      </w:r>
    </w:p>
    <w:p>
      <w:pPr>
        <w:pStyle w:val="Heading2"/>
      </w:pPr>
      <w:r>
        <w:t>Si les données changent entre temps</w:t>
      </w:r>
    </w:p>
    <w:p>
      <w:r>
        <w:rPr>
          <w:b w:val="0"/>
        </w:rPr>
        <w:t>Si l’aperçu est périmé, la publication est refusée et l’écran recharge le récapitulatif. Relisez-le avant de confirmer. Un échec dans la transaction annule le lot ; un double clic ou une reprise de la même demande ne doit pas republier les gardes une seconde fois.</w:t>
      </w:r>
    </w:p>
    <w:p>
      <w:pPr>
        <w:pStyle w:val="Heading2"/>
      </w:pPr>
      <w:r>
        <w:t>Ce que reçoivent les agents</w:t>
      </w:r>
    </w:p>
    <w:p>
      <w:r>
        <w:rPr>
          <w:b w:val="0"/>
        </w:rPr>
        <w:t>Chaque agent concerné reçoit un avis groupé de ses gardes ajoutées ou retirées, avec dates et horaires. Il ne reçoit pas un avis supplémentaire par créneau. Les agents sans changement ne sont pas sollicités. Un retrait déjà annoncé lors de l’acceptation d’un désistement n’est pas notifié une seconde fois.</w:t>
      </w:r>
    </w:p>
    <w:p>
      <w:r>
        <w:rPr>
          <w:b w:val="0"/>
        </w:rPr>
        <w:t>Après publication, vérifiez les déficits qui restent à traiter et les gardes dont le brouillon n’a pas été publié.</w:t>
      </w:r>
    </w:p>
    <w:p>
      <w:r>
        <w:br w:type="page"/>
      </w:r>
    </w:p>
    <w:p>
      <w:pPr>
        <w:pStyle w:val="Heading1"/>
      </w:pPr>
      <w:r>
        <w:t>Traiter un désistement et chercher du renfort</w:t>
      </w:r>
    </w:p>
    <w:p>
      <w:pPr>
        <w:pStyle w:val="Heading2"/>
      </w:pPr>
      <w:r>
        <w:t>Choisir la suite à donner</w:t>
      </w:r>
    </w:p>
    <w:p>
      <w:r>
        <w:rPr>
          <w:b w:val="0"/>
        </w:rPr>
        <w:t>Dans « Désistements », examinez la demande. Vous pouvez accepter simplement, refuser, ou choisir « Accepter et chercher un remplaçant ». Un refus maintient la garde ; une acceptation ne la remplace pas automatiquement.</w:t>
      </w:r>
    </w:p>
    <w:p>
      <w:pPr>
        <w:ind w:left="272" w:hanging="272"/>
      </w:pPr>
      <w:r>
        <w:rPr>
          <w:b/>
        </w:rPr>
        <w:t xml:space="preserve">1. </w:t>
      </w:r>
      <w:r>
        <w:t>Ouvrez « Accepter et chercher un remplaçant ». L’aperçu présente le besoin restant et le nombre d’agents sollicitables.</w:t>
      </w:r>
    </w:p>
    <w:p>
      <w:pPr>
        <w:ind w:left="272" w:hanging="272"/>
      </w:pPr>
      <w:r>
        <w:rPr>
          <w:b/>
        </w:rPr>
        <w:t xml:space="preserve">2. </w:t>
      </w:r>
      <w:r>
        <w:t>Confirmez « Accepter et lancer l’appel ». Le désistement est accepté et l’agent sort du brouillon ; la nouvelle équipe publiée reste à construire.</w:t>
      </w:r>
    </w:p>
    <w:p>
      <w:pPr>
        <w:ind w:left="272" w:hanging="272"/>
      </w:pPr>
      <w:r>
        <w:rPr>
          <w:b/>
        </w:rPr>
        <w:t xml:space="preserve">3. </w:t>
      </w:r>
      <w:r>
        <w:t>Au planning, sur la même garde, consultez « Appel en cours ». Pour un manque sans désistement, utilisez directement « Chercher du renfort ».</w:t>
      </w:r>
    </w:p>
    <w:p>
      <w:pPr>
        <w:ind w:left="272" w:hanging="272"/>
      </w:pPr>
      <w:r>
        <w:rPr>
          <w:b/>
        </w:rPr>
        <w:t xml:space="preserve">4. </w:t>
      </w:r>
      <w:r>
        <w:t>Si nécessaire, choisissez « Élargir aux agents sans disponibilité validée ». L’élargissement reste limité à l’équipe éligible ; l’agent qui se désiste n’est pas sollicité.</w:t>
      </w:r>
    </w:p>
    <w:p>
      <w:pPr>
        <w:ind w:left="272" w:hanging="272"/>
      </w:pPr>
      <w:r>
        <w:rPr>
          <w:b/>
        </w:rPr>
        <w:t xml:space="preserve">5. </w:t>
      </w:r>
      <w:r>
        <w:t>Examinez les propositions et utilisez le bouton « Retenir [nom] » pour compléter le brouillon.</w:t>
      </w:r>
    </w:p>
    <w:p>
      <w:pPr>
        <w:ind w:left="272" w:hanging="272"/>
      </w:pPr>
      <w:r>
        <w:rPr>
          <w:b/>
        </w:rPr>
        <w:t xml:space="preserve">6. </w:t>
      </w:r>
      <w:r>
        <w:t>Lorsque les besoins sont couverts, choisissez « Confirmer et publier » puis confirmez.</w:t>
      </w:r>
    </w:p>
    <w:p>
      <w:pPr>
        <w:pStyle w:val="Heading2"/>
      </w:pPr>
      <w:r>
        <w:t>Ce que fait le candidat</w:t>
      </w:r>
    </w:p>
    <w:p>
      <w:r>
        <w:rPr>
          <w:b w:val="0"/>
        </w:rPr>
        <w:t>L’agent ouvre « Appels », lit les horaires et choisit « Je me propose ». S’il est sollicité après élargissement, il doit d’abord cocher la déclaration de disponibilité pour cette garde. Sa réponse mensuelle et la clôture ne sont pas modifiées.</w:t>
      </w:r>
    </w:p>
    <w:p>
      <w:r>
        <w:rPr>
          <w:b/>
        </w:rPr>
        <w:t>« En attente » et « Retenue dans le brouillon » ne sont pas des confirmations de garde. L’agent peut retirer sa proposition tant qu’elle n’est pas publiée. Après publication, un empêchement passe par un désistement.</w:t>
      </w:r>
    </w:p>
    <w:p>
      <w:pPr>
        <w:pStyle w:val="Heading2"/>
      </w:pPr>
      <w:r>
        <w:t>Suivre la recherche jusqu’à son issue</w:t>
      </w:r>
    </w:p>
    <w:p>
      <w:r>
        <w:rPr>
          <w:b w:val="0"/>
        </w:rPr>
        <w:t>Plusieurs candidats peuvent se compléter. La publication qui couvre le besoin ferme l’appel et confirme les retenus. Les autres apprennent que la recherche est terminée. « Annuler l’appel » clôt la recherche ; un appel expire au début de la garde. Vérifiez les affectations du brouillon après toute annulation.</w:t>
      </w:r>
    </w:p>
    <w:p>
      <w:r>
        <w:rPr>
          <w:b w:val="0"/>
        </w:rPr>
        <w:t>Si personne n’est éligible ou si le besoin reste incomplet, la garde ne peut pas être publiée par ce parcours. Organisez la suite avec le centre. Pour une urgence, vérifiez directement que les personnes retenues ont pris connaissance du changement ; une notification ne prouve pas sa lecture.</w:t>
      </w:r>
    </w:p>
    <w:p>
      <w:r>
        <w:br w:type="page"/>
      </w:r>
    </w:p>
    <w:p>
      <w:pPr>
        <w:pStyle w:val="Heading1"/>
      </w:pPr>
      <w:r>
        <w:t>Recevoir les notifications et suivre les rappels</w:t>
      </w:r>
    </w:p>
    <w:p>
      <w:pPr>
        <w:pStyle w:val="Heading2"/>
      </w:pPr>
      <w:r>
        <w:t>Activer le téléphone</w:t>
      </w:r>
    </w:p>
    <w:p>
      <w:pPr>
        <w:ind w:left="272" w:hanging="272"/>
      </w:pPr>
      <w:r>
        <w:rPr>
          <w:b/>
        </w:rPr>
        <w:t xml:space="preserve">1. </w:t>
      </w:r>
      <w:r>
        <w:t>Ouvrez « Mon profil », puis les notifications sur cet appareil.</w:t>
      </w:r>
    </w:p>
    <w:p>
      <w:pPr>
        <w:ind w:left="272" w:hanging="272"/>
      </w:pPr>
      <w:r>
        <w:rPr>
          <w:b/>
        </w:rPr>
        <w:t xml:space="preserve">2. </w:t>
      </w:r>
      <w:r>
        <w:t>Cliquez sur « Activer les notifications » et acceptez l’autorisation du navigateur ou du téléphone.</w:t>
      </w:r>
    </w:p>
    <w:p>
      <w:pPr>
        <w:ind w:left="272" w:hanging="272"/>
      </w:pPr>
      <w:r>
        <w:rPr>
          <w:b/>
        </w:rPr>
        <w:t xml:space="preserve">3. </w:t>
      </w:r>
      <w:r>
        <w:t>Vérifiez « Actives sur cet appareil », puis utilisez « Envoyer un essai ».</w:t>
      </w:r>
    </w:p>
    <w:p>
      <w:r>
        <w:rPr>
          <w:b w:val="0"/>
        </w:rPr>
        <w:t>L’activation est propre à l’appareil. Sur iPhone ou iPad compatible, ajoutez d’abord DispoSP à l’écran d’accueil depuis Safari, puis ouvrez l’application installée et activez les notifications. Sur Android ou ordinateur, utilisez le bouton d’installation lorsqu’il est proposé.</w:t>
      </w:r>
    </w:p>
    <w:p>
      <w:r>
        <w:rPr>
          <w:b w:val="0"/>
        </w:rPr>
        <w:t>La cloche ouvre les notifications dans l’application. Les emails métier restent prévus sans préférence individuelle pour les couper ; le push ne part que vers les appareils activés. L’écran verrouillé reste discret. Sur un appareil partagé, déconnectez-vous après utilisation.</w:t>
      </w:r>
    </w:p>
    <w:p>
      <w:pPr>
        <w:pStyle w:val="Heading2"/>
      </w:pPr>
      <w:r>
        <w:t>Activer les rappels du centre</w:t>
      </w:r>
    </w:p>
    <w:p>
      <w:pPr>
        <w:ind w:left="272" w:hanging="272"/>
      </w:pPr>
      <w:r>
        <w:rPr>
          <w:b/>
        </w:rPr>
        <w:t xml:space="preserve">1. </w:t>
      </w:r>
      <w:r>
        <w:t>Les traitements planifiés sont activés sur le site. Vérifiez leur dernier passage dans « Paramètres ».</w:t>
      </w:r>
    </w:p>
    <w:p>
      <w:pPr>
        <w:ind w:left="272" w:hanging="272"/>
      </w:pPr>
      <w:r>
        <w:rPr>
          <w:b/>
        </w:rPr>
        <w:t xml:space="preserve">2. </w:t>
      </w:r>
      <w:r>
        <w:t>Repérez « Rappels automatiques » et contrôlez le réglage actuel du centre.</w:t>
      </w:r>
    </w:p>
    <w:p>
      <w:pPr>
        <w:ind w:left="272" w:hanging="272"/>
      </w:pPr>
      <w:r>
        <w:rPr>
          <w:b/>
        </w:rPr>
        <w:t xml:space="preserve">3. </w:t>
      </w:r>
      <w:r>
        <w:t>Si nécessaire, cochez « Activer les rappels automatiques », choisissez l’heure du rappel de garde la veille, puis « Enregistrer les rappels ».</w:t>
      </w:r>
    </w:p>
    <w:p>
      <w:pPr>
        <w:ind w:left="272" w:hanging="272"/>
      </w:pPr>
      <w:r>
        <w:rPr>
          <w:b/>
        </w:rPr>
        <w:t xml:space="preserve">4. </w:t>
      </w:r>
      <w:r>
        <w:t>Vérifiez ensuite le suivi et la réception sur un compte de test prévu à cet effet.</w:t>
      </w:r>
    </w:p>
    <w:p>
      <w:r>
        <w:rPr>
          <w:b w:val="0"/>
        </w:rPr>
        <w:t>Le rappel de garde utilise l’heure choisie, 18 h par défaut. Jour et Nuit de la même date donnent un rappel de 24 h. Les relances visent les agents sans réponse validée 48 h puis 24 h avant la clôture. L’encadrement ne reçoit ni rappel de garde ni relance de réponse.</w:t>
      </w:r>
    </w:p>
    <w:p>
      <w:r>
        <w:rPr>
          <w:b w:val="0"/>
        </w:rPr>
        <w:t>La relance manuelle du tableau de bord reste possible. Relances manuelles et automatiques respectent un délai commun de 12 h ; une relance récente peut donc empêcher un nouvel envoi.</w:t>
      </w:r>
    </w:p>
    <w:p>
      <w:pPr>
        <w:pStyle w:val="Heading2"/>
      </w:pPr>
      <w:r>
        <w:t>Lire le suivi</w:t>
      </w:r>
    </w:p>
    <w:p>
      <w:r>
        <w:rPr>
          <w:b w:val="0"/>
        </w:rPr>
        <w:t>Contrôlez la dernière génération, la dernière livraison, les erreurs sur 24 h et les files en attente. Une absence de passage depuis plus de quinze minutes appelle une vérification technique. Cocher l’option de rappel ne configure pas les tâches du serveur.</w:t>
      </w:r>
    </w:p>
    <w:p>
      <w:r>
        <w:rPr>
          <w:b w:val="0"/>
        </w:rPr>
        <w:t>En cas d’absence de push, vérifiez le compte, les autorisations, le réseau et les modes silencieux. Un agenda actualisé, un email reçu et un push reçu sont trois vérifications distinctes.</w:t>
      </w:r>
    </w:p>
    <w:p>
      <w:r>
        <w:br w:type="page"/>
      </w:r>
    </w:p>
    <w:p>
      <w:pPr>
        <w:pStyle w:val="Heading1"/>
      </w:pPr>
      <w:r>
        <w:t>Accompagner un agent dans son agenda</w:t>
      </w:r>
    </w:p>
    <w:p>
      <w:r>
        <w:rPr>
          <w:b w:val="0"/>
        </w:rPr>
        <w:t>Cette fonction se trouve dans « Mon planning » de l’agent. Le gestionnaire ne crée pas d’abonnement à sa place et ne dispose pas de cet écran personnel dans son espace d’encadrement.</w:t>
      </w:r>
    </w:p>
    <w:p>
      <w:pPr>
        <w:pStyle w:val="Heading2"/>
      </w:pPr>
      <w:r>
        <w:t>Créer et ajouter une adresse</w:t>
      </w:r>
    </w:p>
    <w:p>
      <w:pPr>
        <w:ind w:left="272" w:hanging="272"/>
      </w:pPr>
      <w:r>
        <w:rPr>
          <w:b/>
        </w:rPr>
        <w:t xml:space="preserve">1. </w:t>
      </w:r>
      <w:r>
        <w:t>Dans « Mon planning », ouvrir « M’abonner à mon agenda ».</w:t>
      </w:r>
    </w:p>
    <w:p>
      <w:pPr>
        <w:ind w:left="272" w:hanging="272"/>
      </w:pPr>
      <w:r>
        <w:rPr>
          <w:b/>
        </w:rPr>
        <w:t xml:space="preserve">2. </w:t>
      </w:r>
      <w:r>
        <w:t>Choisir « Créer mon adresse d’abonnement ». Copier immédiatement l’adresse privée : elle n’est affichée qu’une fois.</w:t>
      </w:r>
    </w:p>
    <w:p>
      <w:pPr>
        <w:ind w:left="272" w:hanging="272"/>
      </w:pPr>
      <w:r>
        <w:rPr>
          <w:b/>
        </w:rPr>
        <w:t xml:space="preserve">3. </w:t>
      </w:r>
      <w:r>
        <w:t>Sur Apple Calendrier, utiliser « ouvrir dans Calendrier », puis s’abonner. Sur Google Agenda, utiliser depuis un ordinateur « Autres agendas », « + », « À partir de l’URL ». Sur Outlook, choisir l’abonnement depuis le web.</w:t>
      </w:r>
    </w:p>
    <w:p>
      <w:pPr>
        <w:ind w:left="272" w:hanging="272"/>
      </w:pPr>
      <w:r>
        <w:rPr>
          <w:b/>
        </w:rPr>
        <w:t xml:space="preserve">4. </w:t>
      </w:r>
      <w:r>
        <w:t>Vérifier que l’agenda s’affiche sur le téléphone et que les gardes correspondent à celles de DispoSP.</w:t>
      </w:r>
    </w:p>
    <w:p>
      <w:pPr>
        <w:pStyle w:val="Heading2"/>
      </w:pPr>
      <w:r>
        <w:t>Comprendre ce qui se synchronise</w:t>
      </w:r>
    </w:p>
    <w:p>
      <w:r>
        <w:rPr>
          <w:b w:val="0"/>
        </w:rPr>
        <w:t>Le flux présente les gardes publiées encore tenues, dans une fenêtre de trois mois passés et douze mois à venir. Il exclut brouillons, candidatures et gardes dont un désistement accepté a relevé l’agent. Une mise à jour de garde conserve son identifiant ; un retrait cesse de figurer dans le flux.</w:t>
      </w:r>
    </w:p>
    <w:p>
      <w:r>
        <w:rPr>
          <w:b w:val="0"/>
        </w:rPr>
        <w:t>Le logiciel d’agenda choisit son rythme de lecture. Une modification peut donc apparaître plus tard ; consultez DispoSP pour l’état actuel. « Dernière lecture » indique une consultation du flux, pas la preuve que l’agent a lu les changements.</w:t>
      </w:r>
    </w:p>
    <w:p>
      <w:r>
        <w:rPr>
          <w:b w:val="0"/>
        </w:rPr>
        <w:t>L’export ICS ponctuel reste disponible, mais un fichier déjà importé ne s’actualise pas comme un abonnement. Évitez de multiplier les imports et abonnements pour les mêmes gardes.</w:t>
      </w:r>
    </w:p>
    <w:p>
      <w:pPr>
        <w:pStyle w:val="Heading2"/>
      </w:pPr>
      <w:r>
        <w:t>Adresse perdue partagée ou à retirer</w:t>
      </w:r>
    </w:p>
    <w:p>
      <w:r>
        <w:rPr>
          <w:b w:val="0"/>
        </w:rPr>
        <w:t>« Nouvelle adresse » révoque l’ancienne : il faut remplacer l’abonnement dans le logiciel d’agenda. « Révoquer » coupe l’accès immédiatement, mais n’efface pas nécessairement les événements déjà conservés par le logiciel ; supprimez aussi cet abonnement dans celui-ci.</w:t>
      </w:r>
    </w:p>
    <w:p>
      <w:r>
        <w:rPr>
          <w:b w:val="0"/>
        </w:rPr>
        <w:t>Toute personne possédant le lien peut potentiellement lire les gardes. Ne le partagez pas et ne l’incluez pas dans une capture destinée au support. L’inactivation du compte ou le passage à un rôle d’encadrement coupe l’accès au flux.</w:t>
      </w:r>
    </w:p>
    <w:p>
      <w:r>
        <w:rPr>
          <w:b w:val="0"/>
        </w:rPr>
        <w:t>L’agenda ne contient pas d’alarme de garde intégrée. Le rappel de DispoSP dépend de l’activation du centre et du bon fonctionnement des traitements planifiés.</w:t>
      </w:r>
    </w:p>
    <w:p>
      <w:r>
        <w:br w:type="page"/>
      </w:r>
    </w:p>
    <w:p>
      <w:pPr>
        <w:pStyle w:val="Heading1"/>
      </w:pPr>
      <w:r>
        <w:t>Exporter et interpréter les statistiques</w:t>
      </w:r>
    </w:p>
    <w:p>
      <w:pPr>
        <w:pStyle w:val="Heading2"/>
      </w:pPr>
      <w:r>
        <w:t>Choisir le bon support</w:t>
      </w:r>
    </w:p>
    <w:tbl>
      <w:tblPr>
        <w:tblW w:type="auto" w:w="0"/>
        <w:jc w:val="center"/>
        <w:tblLayout w:type="fixed"/>
        <w:tblLook w:firstColumn="1" w:firstRow="1" w:lastColumn="0" w:lastRow="0" w:noHBand="0" w:noVBand="1" w:val="04A0"/>
      </w:tblPr>
      <w:tblGrid>
        <w:gridCol w:w="2948"/>
        <w:gridCol w:w="6690"/>
      </w:tblGrid>
      <w:tr>
        <w:trPr>
          <w:cantSplit/>
          <w:tblHeader/>
        </w:trPr>
        <w:tc>
          <w:tcPr>
            <w:tcW w:type="dxa" w:w="2948"/>
            <w:vAlign w:val="center"/>
            <w:tcMar>
              <w:top w:w="100" w:type="dxa"/>
              <w:left w:w="100" w:type="dxa"/>
              <w:bottom w:w="100" w:type="dxa"/>
              <w:right w:w="100" w:type="dxa"/>
            </w:tcMar>
            <w:shd w:fill="DCE7EF"/>
            <w:tcBorders>
              <w:top w:val="single" w:sz="4" w:color="D9D9D9"/>
              <w:left w:val="single" w:sz="4" w:color="D9D9D9"/>
              <w:bottom w:val="single" w:sz="4" w:color="D9D9D9"/>
              <w:right w:val="single" w:sz="4" w:color="D9D9D9"/>
            </w:tcBorders>
          </w:tcPr>
          <w:p>
            <w:pPr>
              <w:spacing w:after="40" w:line="247" w:lineRule="auto"/>
            </w:pPr>
            <w:r>
              <w:rPr>
                <w:b/>
                <w:sz w:val="21"/>
              </w:rPr>
              <w:t>Commande</w:t>
            </w:r>
          </w:p>
        </w:tc>
        <w:tc>
          <w:tcPr>
            <w:tcW w:type="dxa" w:w="6690"/>
            <w:vAlign w:val="center"/>
            <w:tcMar>
              <w:top w:w="100" w:type="dxa"/>
              <w:left w:w="100" w:type="dxa"/>
              <w:bottom w:w="100" w:type="dxa"/>
              <w:right w:w="100" w:type="dxa"/>
            </w:tcMar>
            <w:shd w:fill="DCE7EF"/>
            <w:tcBorders>
              <w:top w:val="single" w:sz="4" w:color="D9D9D9"/>
              <w:left w:val="single" w:sz="4" w:color="D9D9D9"/>
              <w:bottom w:val="single" w:sz="4" w:color="D9D9D9"/>
              <w:right w:val="single" w:sz="4" w:color="D9D9D9"/>
            </w:tcBorders>
          </w:tcPr>
          <w:p>
            <w:pPr>
              <w:spacing w:after="40" w:line="247" w:lineRule="auto"/>
            </w:pPr>
            <w:r>
              <w:rPr>
                <w:b/>
                <w:sz w:val="21"/>
              </w:rPr>
              <w:t>Contenu et précaution</w:t>
            </w:r>
          </w:p>
        </w:tc>
      </w:tr>
      <w:tr>
        <w:trPr>
          <w:cantSplit/>
        </w:trPr>
        <w:tc>
          <w:tcPr>
            <w:tcW w:type="dxa" w:w="2948"/>
            <w:vAlign w:val="center"/>
            <w:tcMar>
              <w:top w:w="100" w:type="dxa"/>
              <w:left w:w="100" w:type="dxa"/>
              <w:bottom w:w="100" w:type="dxa"/>
              <w:right w:w="100" w:type="dxa"/>
            </w:tcMar>
            <w:shd w:fill="FFFFFF"/>
            <w:tcBorders>
              <w:top w:val="single" w:sz="4" w:color="D9D9D9"/>
              <w:left w:val="single" w:sz="4" w:color="D9D9D9"/>
              <w:bottom w:val="single" w:sz="4" w:color="D9D9D9"/>
              <w:right w:val="single" w:sz="4" w:color="D9D9D9"/>
            </w:tcBorders>
          </w:tcPr>
          <w:p>
            <w:pPr>
              <w:spacing w:after="40" w:line="247" w:lineRule="auto"/>
            </w:pPr>
            <w:r>
              <w:rPr>
                <w:b w:val="0"/>
                <w:sz w:val="21"/>
              </w:rPr>
              <w:t>Exporter en Excel</w:t>
            </w:r>
          </w:p>
        </w:tc>
        <w:tc>
          <w:tcPr>
            <w:tcW w:type="dxa" w:w="6690"/>
            <w:vAlign w:val="center"/>
            <w:tcMar>
              <w:top w:w="100" w:type="dxa"/>
              <w:left w:w="100" w:type="dxa"/>
              <w:bottom w:w="100" w:type="dxa"/>
              <w:right w:w="100" w:type="dxa"/>
            </w:tcMar>
            <w:shd w:fill="FFFFFF"/>
            <w:tcBorders>
              <w:top w:val="single" w:sz="4" w:color="D9D9D9"/>
              <w:left w:val="single" w:sz="4" w:color="D9D9D9"/>
              <w:bottom w:val="single" w:sz="4" w:color="D9D9D9"/>
              <w:right w:val="single" w:sz="4" w:color="D9D9D9"/>
            </w:tcBorders>
          </w:tcPr>
          <w:p>
            <w:pPr>
              <w:spacing w:after="40" w:line="247" w:lineRule="auto"/>
            </w:pPr>
            <w:r>
              <w:rPr>
                <w:b w:val="0"/>
                <w:sz w:val="21"/>
              </w:rPr>
              <w:t>Classeur de campagne : disponibilités, synthèse, couverture, planning et statistiques. Les filtres de la vue ne limitent pas l’export.</w:t>
            </w:r>
          </w:p>
        </w:tc>
      </w:tr>
      <w:tr>
        <w:trPr>
          <w:cantSplit/>
        </w:trPr>
        <w:tc>
          <w:tcPr>
            <w:tcW w:type="dxa" w:w="2948"/>
            <w:vAlign w:val="center"/>
            <w:tcMar>
              <w:top w:w="100" w:type="dxa"/>
              <w:left w:w="100" w:type="dxa"/>
              <w:bottom w:w="100" w:type="dxa"/>
              <w:right w:w="100" w:type="dxa"/>
            </w:tcMar>
            <w:shd w:fill="F5F7F9"/>
            <w:tcBorders>
              <w:top w:val="single" w:sz="4" w:color="D9D9D9"/>
              <w:left w:val="single" w:sz="4" w:color="D9D9D9"/>
              <w:bottom w:val="single" w:sz="4" w:color="D9D9D9"/>
              <w:right w:val="single" w:sz="4" w:color="D9D9D9"/>
            </w:tcBorders>
          </w:tcPr>
          <w:p>
            <w:pPr>
              <w:spacing w:after="40" w:line="247" w:lineRule="auto"/>
            </w:pPr>
            <w:r>
              <w:rPr>
                <w:b w:val="0"/>
                <w:sz w:val="21"/>
              </w:rPr>
              <w:t>Exporter la vue CSV</w:t>
            </w:r>
          </w:p>
        </w:tc>
        <w:tc>
          <w:tcPr>
            <w:tcW w:type="dxa" w:w="6690"/>
            <w:vAlign w:val="center"/>
            <w:tcMar>
              <w:top w:w="100" w:type="dxa"/>
              <w:left w:w="100" w:type="dxa"/>
              <w:bottom w:w="100" w:type="dxa"/>
              <w:right w:w="100" w:type="dxa"/>
            </w:tcMar>
            <w:shd w:fill="F5F7F9"/>
            <w:tcBorders>
              <w:top w:val="single" w:sz="4" w:color="D9D9D9"/>
              <w:left w:val="single" w:sz="4" w:color="D9D9D9"/>
              <w:bottom w:val="single" w:sz="4" w:color="D9D9D9"/>
              <w:right w:val="single" w:sz="4" w:color="D9D9D9"/>
            </w:tcBorders>
          </w:tcPr>
          <w:p>
            <w:pPr>
              <w:spacing w:after="40" w:line="247" w:lineRule="auto"/>
            </w:pPr>
            <w:r>
              <w:rPr>
                <w:b w:val="0"/>
                <w:sz w:val="21"/>
              </w:rPr>
              <w:t>Données correspondant aux agents retenus par les filtres de la synthèse.</w:t>
            </w:r>
          </w:p>
        </w:tc>
      </w:tr>
      <w:tr>
        <w:trPr>
          <w:cantSplit/>
        </w:trPr>
        <w:tc>
          <w:tcPr>
            <w:tcW w:type="dxa" w:w="2948"/>
            <w:vAlign w:val="center"/>
            <w:tcMar>
              <w:top w:w="100" w:type="dxa"/>
              <w:left w:w="100" w:type="dxa"/>
              <w:bottom w:w="100" w:type="dxa"/>
              <w:right w:w="100" w:type="dxa"/>
            </w:tcMar>
            <w:shd w:fill="FFFFFF"/>
            <w:tcBorders>
              <w:top w:val="single" w:sz="4" w:color="D9D9D9"/>
              <w:left w:val="single" w:sz="4" w:color="D9D9D9"/>
              <w:bottom w:val="single" w:sz="4" w:color="D9D9D9"/>
              <w:right w:val="single" w:sz="4" w:color="D9D9D9"/>
            </w:tcBorders>
          </w:tcPr>
          <w:p>
            <w:pPr>
              <w:spacing w:after="40" w:line="247" w:lineRule="auto"/>
            </w:pPr>
            <w:r>
              <w:rPr>
                <w:b w:val="0"/>
                <w:sz w:val="21"/>
              </w:rPr>
              <w:t>Imprimer le mois ou Imprimer</w:t>
            </w:r>
          </w:p>
        </w:tc>
        <w:tc>
          <w:tcPr>
            <w:tcW w:type="dxa" w:w="6690"/>
            <w:vAlign w:val="center"/>
            <w:tcMar>
              <w:top w:w="100" w:type="dxa"/>
              <w:left w:w="100" w:type="dxa"/>
              <w:bottom w:w="100" w:type="dxa"/>
              <w:right w:w="100" w:type="dxa"/>
            </w:tcMar>
            <w:shd w:fill="FFFFFF"/>
            <w:tcBorders>
              <w:top w:val="single" w:sz="4" w:color="D9D9D9"/>
              <w:left w:val="single" w:sz="4" w:color="D9D9D9"/>
              <w:bottom w:val="single" w:sz="4" w:color="D9D9D9"/>
              <w:right w:val="single" w:sz="4" w:color="D9D9D9"/>
            </w:tcBorders>
          </w:tcPr>
          <w:p>
            <w:pPr>
              <w:spacing w:after="40" w:line="247" w:lineRule="auto"/>
            </w:pPr>
            <w:r>
              <w:rPr>
                <w:b w:val="0"/>
                <w:sz w:val="21"/>
              </w:rPr>
              <w:t>Matrice ou journée affichée ; vérifier l’aperçu avant impression ou enregistrement PDF.</w:t>
            </w:r>
          </w:p>
        </w:tc>
      </w:tr>
      <w:tr>
        <w:trPr>
          <w:cantSplit/>
        </w:trPr>
        <w:tc>
          <w:tcPr>
            <w:tcW w:type="dxa" w:w="2948"/>
            <w:vAlign w:val="center"/>
            <w:tcMar>
              <w:top w:w="100" w:type="dxa"/>
              <w:left w:w="100" w:type="dxa"/>
              <w:bottom w:w="100" w:type="dxa"/>
              <w:right w:w="100" w:type="dxa"/>
            </w:tcMar>
            <w:shd w:fill="F5F7F9"/>
            <w:tcBorders>
              <w:top w:val="single" w:sz="4" w:color="D9D9D9"/>
              <w:left w:val="single" w:sz="4" w:color="D9D9D9"/>
              <w:bottom w:val="single" w:sz="4" w:color="D9D9D9"/>
              <w:right w:val="single" w:sz="4" w:color="D9D9D9"/>
            </w:tcBorders>
          </w:tcPr>
          <w:p>
            <w:pPr>
              <w:spacing w:after="40" w:line="247" w:lineRule="auto"/>
            </w:pPr>
            <w:r>
              <w:rPr>
                <w:b w:val="0"/>
                <w:sz w:val="21"/>
              </w:rPr>
              <w:t>Exporter le journal</w:t>
            </w:r>
          </w:p>
        </w:tc>
        <w:tc>
          <w:tcPr>
            <w:tcW w:type="dxa" w:w="6690"/>
            <w:vAlign w:val="center"/>
            <w:tcMar>
              <w:top w:w="100" w:type="dxa"/>
              <w:left w:w="100" w:type="dxa"/>
              <w:bottom w:w="100" w:type="dxa"/>
              <w:right w:w="100" w:type="dxa"/>
            </w:tcMar>
            <w:shd w:fill="F5F7F9"/>
            <w:tcBorders>
              <w:top w:val="single" w:sz="4" w:color="D9D9D9"/>
              <w:left w:val="single" w:sz="4" w:color="D9D9D9"/>
              <w:bottom w:val="single" w:sz="4" w:color="D9D9D9"/>
              <w:right w:val="single" w:sz="4" w:color="D9D9D9"/>
            </w:tcBorders>
          </w:tcPr>
          <w:p>
            <w:pPr>
              <w:spacing w:after="40" w:line="247" w:lineRule="auto"/>
            </w:pPr>
            <w:r>
              <w:rPr>
                <w:b w:val="0"/>
                <w:sz w:val="21"/>
              </w:rPr>
              <w:t>Actions chargées qui correspondent aux filtres, pas tout l’historique du centre.</w:t>
            </w:r>
          </w:p>
        </w:tc>
      </w:tr>
      <w:tr>
        <w:trPr>
          <w:cantSplit/>
        </w:trPr>
        <w:tc>
          <w:tcPr>
            <w:tcW w:type="dxa" w:w="2948"/>
            <w:vAlign w:val="center"/>
            <w:tcMar>
              <w:top w:w="100" w:type="dxa"/>
              <w:left w:w="100" w:type="dxa"/>
              <w:bottom w:w="100" w:type="dxa"/>
              <w:right w:w="100" w:type="dxa"/>
            </w:tcMar>
            <w:shd w:fill="FFFFFF"/>
            <w:tcBorders>
              <w:top w:val="single" w:sz="4" w:color="D9D9D9"/>
              <w:left w:val="single" w:sz="4" w:color="D9D9D9"/>
              <w:bottom w:val="single" w:sz="4" w:color="D9D9D9"/>
              <w:right w:val="single" w:sz="4" w:color="D9D9D9"/>
            </w:tcBorders>
          </w:tcPr>
          <w:p>
            <w:pPr>
              <w:spacing w:after="40" w:line="247" w:lineRule="auto"/>
            </w:pPr>
            <w:r>
              <w:rPr>
                <w:b w:val="0"/>
                <w:sz w:val="21"/>
              </w:rPr>
              <w:t>Export calendrier personnel</w:t>
            </w:r>
          </w:p>
        </w:tc>
        <w:tc>
          <w:tcPr>
            <w:tcW w:type="dxa" w:w="6690"/>
            <w:vAlign w:val="center"/>
            <w:tcMar>
              <w:top w:w="100" w:type="dxa"/>
              <w:left w:w="100" w:type="dxa"/>
              <w:bottom w:w="100" w:type="dxa"/>
              <w:right w:w="100" w:type="dxa"/>
            </w:tcMar>
            <w:shd w:fill="FFFFFF"/>
            <w:tcBorders>
              <w:top w:val="single" w:sz="4" w:color="D9D9D9"/>
              <w:left w:val="single" w:sz="4" w:color="D9D9D9"/>
              <w:bottom w:val="single" w:sz="4" w:color="D9D9D9"/>
              <w:right w:val="single" w:sz="4" w:color="D9D9D9"/>
            </w:tcBorders>
          </w:tcPr>
          <w:p>
            <w:pPr>
              <w:spacing w:after="40" w:line="247" w:lineRule="auto"/>
            </w:pPr>
            <w:r>
              <w:rPr>
                <w:b w:val="0"/>
                <w:sz w:val="21"/>
              </w:rPr>
              <w:t>Copie ponctuelle des gardes de l’agent. L’abonnement présenté page 10 permet les relectures ultérieures.</w:t>
            </w:r>
          </w:p>
        </w:tc>
      </w:tr>
    </w:tbl>
    <w:p>
      <w:pPr>
        <w:spacing w:after="0"/>
      </w:pPr>
    </w:p>
    <w:p>
      <w:r>
        <w:rPr>
          <w:b w:val="0"/>
        </w:rPr>
        <w:t>Un export est une photographie de son contenu à la création. Il ne suit pas les republications. Distinguez le brouillon de la version publiée et partagez ces fichiers uniquement avec les personnes habilitées.</w:t>
      </w:r>
    </w:p>
    <w:p>
      <w:pPr>
        <w:pStyle w:val="Heading2"/>
      </w:pPr>
      <w:r>
        <w:t>Lire les statistiques existantes</w:t>
      </w:r>
    </w:p>
    <w:p>
      <w:r>
        <w:rPr>
          <w:b w:val="0"/>
        </w:rPr>
        <w:t>« Statistiques » propose les vues par mois, par jour de semaine et par agent. Les données reflètent les informations chargées et l’effectif actuel : le départ d’un agent ou son changement de rôle peut modifier la lecture des mois passés.</w:t>
      </w:r>
    </w:p>
    <w:p>
      <w:r>
        <w:rPr>
          <w:b/>
        </w:rPr>
        <w:t>Les nouvelles photographies historiques préparent le futur bilan mensuel, mais cet écran de bilan et son envoi ne sont pas encore disponibles. Les photographies commencent à l’activation de la migration correspondante ; elles ne reconstituent pas les mois antérieurs.</w:t>
      </w:r>
    </w:p>
    <w:p>
      <w:r>
        <w:rPr>
          <w:b w:val="0"/>
        </w:rPr>
        <w:t>Les gardes planifiées ou publiées ne constituent pas un pointage de présence réelle. N’en déduisez pas un temps de service effectué sans autre source.</w:t>
      </w:r>
    </w:p>
    <w:p>
      <w:pPr>
        <w:pStyle w:val="Heading2"/>
      </w:pPr>
      <w:r>
        <w:t>Retrouver une action</w:t>
      </w:r>
    </w:p>
    <w:p>
      <w:r>
        <w:rPr>
          <w:b w:val="0"/>
        </w:rPr>
        <w:t>Dans « Historique », filtrez par sujet, auteur, recherche et période. L’écran charge un ensemble borné d’actions récentes : une recherche ancienne vide ne prouve pas qu’aucune action n’a eu lieu. Pour une investigation, transmettez au référent la date et le contexte exacts.</w:t>
      </w:r>
    </w:p>
    <w:p>
      <w:r>
        <w:rPr>
          <w:b w:val="0"/>
        </w:rPr>
        <w:t>Les demandes de suppression ou d’export de données personnelles passent par le circuit prévu par le centre. Une désactivation d’agent et une suppression de compte sont deux opérations différentes.</w:t>
      </w:r>
    </w:p>
    <w:p>
      <w:r>
        <w:br w:type="page"/>
      </w:r>
    </w:p>
    <w:p>
      <w:pPr>
        <w:pStyle w:val="Heading1"/>
      </w:pPr>
      <w:r>
        <w:t>Résoudre les difficultés courantes</w:t>
      </w:r>
    </w:p>
    <w:tbl>
      <w:tblPr>
        <w:tblW w:type="auto" w:w="0"/>
        <w:jc w:val="center"/>
        <w:tblLayout w:type="fixed"/>
        <w:tblLook w:firstColumn="1" w:firstRow="1" w:lastColumn="0" w:lastRow="0" w:noHBand="0" w:noVBand="1" w:val="04A0"/>
      </w:tblPr>
      <w:tblGrid>
        <w:gridCol w:w="3231"/>
        <w:gridCol w:w="6406"/>
      </w:tblGrid>
      <w:tr>
        <w:trPr>
          <w:cantSplit/>
          <w:tblHeader/>
        </w:trPr>
        <w:tc>
          <w:tcPr>
            <w:tcW w:type="dxa" w:w="3231"/>
            <w:vAlign w:val="center"/>
            <w:tcMar>
              <w:top w:w="100" w:type="dxa"/>
              <w:left w:w="100" w:type="dxa"/>
              <w:bottom w:w="100" w:type="dxa"/>
              <w:right w:w="100" w:type="dxa"/>
            </w:tcMar>
            <w:shd w:fill="DCE7EF"/>
            <w:tcBorders>
              <w:top w:val="single" w:sz="4" w:color="D9D9D9"/>
              <w:left w:val="single" w:sz="4" w:color="D9D9D9"/>
              <w:bottom w:val="single" w:sz="4" w:color="D9D9D9"/>
              <w:right w:val="single" w:sz="4" w:color="D9D9D9"/>
            </w:tcBorders>
          </w:tcPr>
          <w:p>
            <w:pPr>
              <w:spacing w:after="40" w:line="247" w:lineRule="auto"/>
            </w:pPr>
            <w:r>
              <w:rPr>
                <w:b/>
                <w:sz w:val="21"/>
              </w:rPr>
              <w:t>Situation</w:t>
            </w:r>
          </w:p>
        </w:tc>
        <w:tc>
          <w:tcPr>
            <w:tcW w:type="dxa" w:w="6406"/>
            <w:vAlign w:val="center"/>
            <w:tcMar>
              <w:top w:w="100" w:type="dxa"/>
              <w:left w:w="100" w:type="dxa"/>
              <w:bottom w:w="100" w:type="dxa"/>
              <w:right w:w="100" w:type="dxa"/>
            </w:tcMar>
            <w:shd w:fill="DCE7EF"/>
            <w:tcBorders>
              <w:top w:val="single" w:sz="4" w:color="D9D9D9"/>
              <w:left w:val="single" w:sz="4" w:color="D9D9D9"/>
              <w:bottom w:val="single" w:sz="4" w:color="D9D9D9"/>
              <w:right w:val="single" w:sz="4" w:color="D9D9D9"/>
            </w:tcBorders>
          </w:tcPr>
          <w:p>
            <w:pPr>
              <w:spacing w:after="40" w:line="247" w:lineRule="auto"/>
            </w:pPr>
            <w:r>
              <w:rPr>
                <w:b/>
                <w:sz w:val="21"/>
              </w:rPr>
              <w:t>Vérifications</w:t>
            </w:r>
          </w:p>
        </w:tc>
      </w:tr>
      <w:tr>
        <w:trPr>
          <w:cantSplit/>
        </w:trPr>
        <w:tc>
          <w:tcPr>
            <w:tcW w:type="dxa" w:w="3231"/>
            <w:vAlign w:val="center"/>
            <w:tcMar>
              <w:top w:w="100" w:type="dxa"/>
              <w:left w:w="100" w:type="dxa"/>
              <w:bottom w:w="100" w:type="dxa"/>
              <w:right w:w="100" w:type="dxa"/>
            </w:tcMar>
            <w:shd w:fill="FFFFFF"/>
            <w:tcBorders>
              <w:top w:val="single" w:sz="4" w:color="D9D9D9"/>
              <w:left w:val="single" w:sz="4" w:color="D9D9D9"/>
              <w:bottom w:val="single" w:sz="4" w:color="D9D9D9"/>
              <w:right w:val="single" w:sz="4" w:color="D9D9D9"/>
            </w:tcBorders>
          </w:tcPr>
          <w:p>
            <w:pPr>
              <w:spacing w:after="40" w:line="247" w:lineRule="auto"/>
            </w:pPr>
            <w:r>
              <w:rPr>
                <w:b w:val="0"/>
                <w:sz w:val="21"/>
              </w:rPr>
              <w:t>Un agent manque au vivier</w:t>
            </w:r>
          </w:p>
        </w:tc>
        <w:tc>
          <w:tcPr>
            <w:tcW w:type="dxa" w:w="6406"/>
            <w:vAlign w:val="center"/>
            <w:tcMar>
              <w:top w:w="100" w:type="dxa"/>
              <w:left w:w="100" w:type="dxa"/>
              <w:bottom w:w="100" w:type="dxa"/>
              <w:right w:w="100" w:type="dxa"/>
            </w:tcMar>
            <w:shd w:fill="FFFFFF"/>
            <w:tcBorders>
              <w:top w:val="single" w:sz="4" w:color="D9D9D9"/>
              <w:left w:val="single" w:sz="4" w:color="D9D9D9"/>
              <w:bottom w:val="single" w:sz="4" w:color="D9D9D9"/>
              <w:right w:val="single" w:sz="4" w:color="D9D9D9"/>
            </w:tcBorders>
          </w:tcPr>
          <w:p>
            <w:pPr>
              <w:spacing w:after="40" w:line="247" w:lineRule="auto"/>
            </w:pPr>
            <w:r>
              <w:rPr>
                <w:b w:val="0"/>
                <w:sz w:val="21"/>
              </w:rPr>
              <w:t>Campagne, équipe, compte actif, rôle Agent, disponibilité validée, qualification et filtres. Après clôture, envisager un appel élargi.</w:t>
            </w:r>
          </w:p>
        </w:tc>
      </w:tr>
      <w:tr>
        <w:trPr>
          <w:cantSplit/>
        </w:trPr>
        <w:tc>
          <w:tcPr>
            <w:tcW w:type="dxa" w:w="3231"/>
            <w:vAlign w:val="center"/>
            <w:tcMar>
              <w:top w:w="100" w:type="dxa"/>
              <w:left w:w="100" w:type="dxa"/>
              <w:bottom w:w="100" w:type="dxa"/>
              <w:right w:w="100" w:type="dxa"/>
            </w:tcMar>
            <w:shd w:fill="F5F7F9"/>
            <w:tcBorders>
              <w:top w:val="single" w:sz="4" w:color="D9D9D9"/>
              <w:left w:val="single" w:sz="4" w:color="D9D9D9"/>
              <w:bottom w:val="single" w:sz="4" w:color="D9D9D9"/>
              <w:right w:val="single" w:sz="4" w:color="D9D9D9"/>
            </w:tcBorders>
          </w:tcPr>
          <w:p>
            <w:pPr>
              <w:spacing w:after="40" w:line="247" w:lineRule="auto"/>
            </w:pPr>
            <w:r>
              <w:rPr>
                <w:b w:val="0"/>
                <w:sz w:val="21"/>
              </w:rPr>
              <w:t>Publication refusée pour repos</w:t>
            </w:r>
          </w:p>
        </w:tc>
        <w:tc>
          <w:tcPr>
            <w:tcW w:type="dxa" w:w="6406"/>
            <w:vAlign w:val="center"/>
            <w:tcMar>
              <w:top w:w="100" w:type="dxa"/>
              <w:left w:w="100" w:type="dxa"/>
              <w:bottom w:w="100" w:type="dxa"/>
              <w:right w:w="100" w:type="dxa"/>
            </w:tcMar>
            <w:shd w:fill="F5F7F9"/>
            <w:tcBorders>
              <w:top w:val="single" w:sz="4" w:color="D9D9D9"/>
              <w:left w:val="single" w:sz="4" w:color="D9D9D9"/>
              <w:bottom w:val="single" w:sz="4" w:color="D9D9D9"/>
              <w:right w:val="single" w:sz="4" w:color="D9D9D9"/>
            </w:tcBorders>
          </w:tcPr>
          <w:p>
            <w:pPr>
              <w:spacing w:after="40" w:line="247" w:lineRule="auto"/>
            </w:pPr>
            <w:r>
              <w:rPr>
                <w:b w:val="0"/>
                <w:sz w:val="21"/>
              </w:rPr>
              <w:t>Lire la garde citée ; vérifier les autres publications et la combinaison Jour et Nuit. Ne pas contourner le refus en modifiant les horaires.</w:t>
            </w:r>
          </w:p>
        </w:tc>
      </w:tr>
      <w:tr>
        <w:trPr>
          <w:cantSplit/>
        </w:trPr>
        <w:tc>
          <w:tcPr>
            <w:tcW w:type="dxa" w:w="3231"/>
            <w:vAlign w:val="center"/>
            <w:tcMar>
              <w:top w:w="100" w:type="dxa"/>
              <w:left w:w="100" w:type="dxa"/>
              <w:bottom w:w="100" w:type="dxa"/>
              <w:right w:w="100" w:type="dxa"/>
            </w:tcMar>
            <w:shd w:fill="FFFFFF"/>
            <w:tcBorders>
              <w:top w:val="single" w:sz="4" w:color="D9D9D9"/>
              <w:left w:val="single" w:sz="4" w:color="D9D9D9"/>
              <w:bottom w:val="single" w:sz="4" w:color="D9D9D9"/>
              <w:right w:val="single" w:sz="4" w:color="D9D9D9"/>
            </w:tcBorders>
          </w:tcPr>
          <w:p>
            <w:pPr>
              <w:spacing w:after="40" w:line="247" w:lineRule="auto"/>
            </w:pPr>
            <w:r>
              <w:rPr>
                <w:b w:val="0"/>
                <w:sz w:val="21"/>
              </w:rPr>
              <w:t>Proposition retenue mais garde invisible</w:t>
            </w:r>
          </w:p>
        </w:tc>
        <w:tc>
          <w:tcPr>
            <w:tcW w:type="dxa" w:w="6406"/>
            <w:vAlign w:val="center"/>
            <w:tcMar>
              <w:top w:w="100" w:type="dxa"/>
              <w:left w:w="100" w:type="dxa"/>
              <w:bottom w:w="100" w:type="dxa"/>
              <w:right w:w="100" w:type="dxa"/>
            </w:tcMar>
            <w:shd w:fill="FFFFFF"/>
            <w:tcBorders>
              <w:top w:val="single" w:sz="4" w:color="D9D9D9"/>
              <w:left w:val="single" w:sz="4" w:color="D9D9D9"/>
              <w:bottom w:val="single" w:sz="4" w:color="D9D9D9"/>
              <w:right w:val="single" w:sz="4" w:color="D9D9D9"/>
            </w:tcBorders>
          </w:tcPr>
          <w:p>
            <w:pPr>
              <w:spacing w:after="40" w:line="247" w:lineRule="auto"/>
            </w:pPr>
            <w:r>
              <w:rPr>
                <w:b w:val="0"/>
                <w:sz w:val="21"/>
              </w:rPr>
              <w:t>Retenir ne publie pas. Compléter l’équipe puis confirmer et publier.</w:t>
            </w:r>
          </w:p>
        </w:tc>
      </w:tr>
      <w:tr>
        <w:trPr>
          <w:cantSplit/>
        </w:trPr>
        <w:tc>
          <w:tcPr>
            <w:tcW w:type="dxa" w:w="3231"/>
            <w:vAlign w:val="center"/>
            <w:tcMar>
              <w:top w:w="100" w:type="dxa"/>
              <w:left w:w="100" w:type="dxa"/>
              <w:bottom w:w="100" w:type="dxa"/>
              <w:right w:w="100" w:type="dxa"/>
            </w:tcMar>
            <w:shd w:fill="F5F7F9"/>
            <w:tcBorders>
              <w:top w:val="single" w:sz="4" w:color="D9D9D9"/>
              <w:left w:val="single" w:sz="4" w:color="D9D9D9"/>
              <w:bottom w:val="single" w:sz="4" w:color="D9D9D9"/>
              <w:right w:val="single" w:sz="4" w:color="D9D9D9"/>
            </w:tcBorders>
          </w:tcPr>
          <w:p>
            <w:pPr>
              <w:spacing w:after="40" w:line="247" w:lineRule="auto"/>
            </w:pPr>
            <w:r>
              <w:rPr>
                <w:b w:val="0"/>
                <w:sz w:val="21"/>
              </w:rPr>
              <w:t>Aperçu du mois périmé</w:t>
            </w:r>
          </w:p>
        </w:tc>
        <w:tc>
          <w:tcPr>
            <w:tcW w:type="dxa" w:w="6406"/>
            <w:vAlign w:val="center"/>
            <w:tcMar>
              <w:top w:w="100" w:type="dxa"/>
              <w:left w:w="100" w:type="dxa"/>
              <w:bottom w:w="100" w:type="dxa"/>
              <w:right w:w="100" w:type="dxa"/>
            </w:tcMar>
            <w:shd w:fill="F5F7F9"/>
            <w:tcBorders>
              <w:top w:val="single" w:sz="4" w:color="D9D9D9"/>
              <w:left w:val="single" w:sz="4" w:color="D9D9D9"/>
              <w:bottom w:val="single" w:sz="4" w:color="D9D9D9"/>
              <w:right w:val="single" w:sz="4" w:color="D9D9D9"/>
            </w:tcBorders>
          </w:tcPr>
          <w:p>
            <w:pPr>
              <w:spacing w:after="40" w:line="247" w:lineRule="auto"/>
            </w:pPr>
            <w:r>
              <w:rPr>
                <w:b w:val="0"/>
                <w:sz w:val="21"/>
              </w:rPr>
              <w:t>Laisser recharger, vérifier les nouveaux nombres et reconfirmer si le résultat convient.</w:t>
            </w:r>
          </w:p>
        </w:tc>
      </w:tr>
      <w:tr>
        <w:trPr>
          <w:cantSplit/>
        </w:trPr>
        <w:tc>
          <w:tcPr>
            <w:tcW w:type="dxa" w:w="3231"/>
            <w:vAlign w:val="center"/>
            <w:tcMar>
              <w:top w:w="100" w:type="dxa"/>
              <w:left w:w="100" w:type="dxa"/>
              <w:bottom w:w="100" w:type="dxa"/>
              <w:right w:w="100" w:type="dxa"/>
            </w:tcMar>
            <w:shd w:fill="FFFFFF"/>
            <w:tcBorders>
              <w:top w:val="single" w:sz="4" w:color="D9D9D9"/>
              <w:left w:val="single" w:sz="4" w:color="D9D9D9"/>
              <w:bottom w:val="single" w:sz="4" w:color="D9D9D9"/>
              <w:right w:val="single" w:sz="4" w:color="D9D9D9"/>
            </w:tcBorders>
          </w:tcPr>
          <w:p>
            <w:pPr>
              <w:spacing w:after="40" w:line="247" w:lineRule="auto"/>
            </w:pPr>
            <w:r>
              <w:rPr>
                <w:b w:val="0"/>
                <w:sz w:val="21"/>
              </w:rPr>
              <w:t>Rappels cochés mais rien ne part</w:t>
            </w:r>
          </w:p>
        </w:tc>
        <w:tc>
          <w:tcPr>
            <w:tcW w:type="dxa" w:w="6406"/>
            <w:vAlign w:val="center"/>
            <w:tcMar>
              <w:top w:w="100" w:type="dxa"/>
              <w:left w:w="100" w:type="dxa"/>
              <w:bottom w:w="100" w:type="dxa"/>
              <w:right w:w="100" w:type="dxa"/>
            </w:tcMar>
            <w:shd w:fill="FFFFFF"/>
            <w:tcBorders>
              <w:top w:val="single" w:sz="4" w:color="D9D9D9"/>
              <w:left w:val="single" w:sz="4" w:color="D9D9D9"/>
              <w:bottom w:val="single" w:sz="4" w:color="D9D9D9"/>
              <w:right w:val="single" w:sz="4" w:color="D9D9D9"/>
            </w:tcBorders>
          </w:tcPr>
          <w:p>
            <w:pPr>
              <w:spacing w:after="40" w:line="247" w:lineRule="auto"/>
            </w:pPr>
            <w:r>
              <w:rPr>
                <w:b w:val="0"/>
                <w:sz w:val="21"/>
              </w:rPr>
              <w:t>Examiner génération et livraison dans Paramètres ; demander au référent de vérifier les tâches et l’envoi.</w:t>
            </w:r>
          </w:p>
        </w:tc>
      </w:tr>
      <w:tr>
        <w:trPr>
          <w:cantSplit/>
        </w:trPr>
        <w:tc>
          <w:tcPr>
            <w:tcW w:type="dxa" w:w="3231"/>
            <w:vAlign w:val="center"/>
            <w:tcMar>
              <w:top w:w="100" w:type="dxa"/>
              <w:left w:w="100" w:type="dxa"/>
              <w:bottom w:w="100" w:type="dxa"/>
              <w:right w:w="100" w:type="dxa"/>
            </w:tcMar>
            <w:shd w:fill="F5F7F9"/>
            <w:tcBorders>
              <w:top w:val="single" w:sz="4" w:color="D9D9D9"/>
              <w:left w:val="single" w:sz="4" w:color="D9D9D9"/>
              <w:bottom w:val="single" w:sz="4" w:color="D9D9D9"/>
              <w:right w:val="single" w:sz="4" w:color="D9D9D9"/>
            </w:tcBorders>
          </w:tcPr>
          <w:p>
            <w:pPr>
              <w:spacing w:after="40" w:line="247" w:lineRule="auto"/>
            </w:pPr>
            <w:r>
              <w:rPr>
                <w:b w:val="0"/>
                <w:sz w:val="21"/>
              </w:rPr>
              <w:t>Agenda en retard</w:t>
            </w:r>
          </w:p>
        </w:tc>
        <w:tc>
          <w:tcPr>
            <w:tcW w:type="dxa" w:w="6406"/>
            <w:vAlign w:val="center"/>
            <w:tcMar>
              <w:top w:w="100" w:type="dxa"/>
              <w:left w:w="100" w:type="dxa"/>
              <w:bottom w:w="100" w:type="dxa"/>
              <w:right w:w="100" w:type="dxa"/>
            </w:tcMar>
            <w:shd w:fill="F5F7F9"/>
            <w:tcBorders>
              <w:top w:val="single" w:sz="4" w:color="D9D9D9"/>
              <w:left w:val="single" w:sz="4" w:color="D9D9D9"/>
              <w:bottom w:val="single" w:sz="4" w:color="D9D9D9"/>
              <w:right w:val="single" w:sz="4" w:color="D9D9D9"/>
            </w:tcBorders>
          </w:tcPr>
          <w:p>
            <w:pPr>
              <w:spacing w:after="40" w:line="247" w:lineRule="auto"/>
            </w:pPr>
            <w:r>
              <w:rPr>
                <w:b w:val="0"/>
                <w:sz w:val="21"/>
              </w:rPr>
              <w:t>Comparer avec Mon planning ; attendre la synchronisation du logiciel et vérifier la dernière lecture.</w:t>
            </w:r>
          </w:p>
        </w:tc>
      </w:tr>
      <w:tr>
        <w:trPr>
          <w:cantSplit/>
        </w:trPr>
        <w:tc>
          <w:tcPr>
            <w:tcW w:type="dxa" w:w="3231"/>
            <w:vAlign w:val="center"/>
            <w:tcMar>
              <w:top w:w="100" w:type="dxa"/>
              <w:left w:w="100" w:type="dxa"/>
              <w:bottom w:w="100" w:type="dxa"/>
              <w:right w:w="100" w:type="dxa"/>
            </w:tcMar>
            <w:shd w:fill="FFFFFF"/>
            <w:tcBorders>
              <w:top w:val="single" w:sz="4" w:color="D9D9D9"/>
              <w:left w:val="single" w:sz="4" w:color="D9D9D9"/>
              <w:bottom w:val="single" w:sz="4" w:color="D9D9D9"/>
              <w:right w:val="single" w:sz="4" w:color="D9D9D9"/>
            </w:tcBorders>
          </w:tcPr>
          <w:p>
            <w:pPr>
              <w:spacing w:after="40" w:line="247" w:lineRule="auto"/>
            </w:pPr>
            <w:r>
              <w:rPr>
                <w:b w:val="0"/>
                <w:sz w:val="21"/>
              </w:rPr>
              <w:t>Adresse privée perdue</w:t>
            </w:r>
          </w:p>
        </w:tc>
        <w:tc>
          <w:tcPr>
            <w:tcW w:type="dxa" w:w="6406"/>
            <w:vAlign w:val="center"/>
            <w:tcMar>
              <w:top w:w="100" w:type="dxa"/>
              <w:left w:w="100" w:type="dxa"/>
              <w:bottom w:w="100" w:type="dxa"/>
              <w:right w:w="100" w:type="dxa"/>
            </w:tcMar>
            <w:shd w:fill="FFFFFF"/>
            <w:tcBorders>
              <w:top w:val="single" w:sz="4" w:color="D9D9D9"/>
              <w:left w:val="single" w:sz="4" w:color="D9D9D9"/>
              <w:bottom w:val="single" w:sz="4" w:color="D9D9D9"/>
              <w:right w:val="single" w:sz="4" w:color="D9D9D9"/>
            </w:tcBorders>
          </w:tcPr>
          <w:p>
            <w:pPr>
              <w:spacing w:after="40" w:line="247" w:lineRule="auto"/>
            </w:pPr>
            <w:r>
              <w:rPr>
                <w:b w:val="0"/>
                <w:sz w:val="21"/>
              </w:rPr>
              <w:t>Générer une nouvelle adresse puis remplacer l’abonnement ; l’ancienne cesse de fonctionner.</w:t>
            </w:r>
          </w:p>
        </w:tc>
      </w:tr>
    </w:tbl>
    <w:p>
      <w:pPr>
        <w:spacing w:after="0"/>
      </w:pPr>
    </w:p>
    <w:p>
      <w:pPr>
        <w:pStyle w:val="Heading2"/>
      </w:pPr>
      <w:r>
        <w:t>Avant de quitter votre session</w:t>
      </w:r>
    </w:p>
    <w:p>
      <w:pPr>
        <w:pStyle w:val="ListBullet"/>
      </w:pPr>
      <w:r>
        <w:t>Traiter ou transmettre les désistements en attente et les appels ouverts.</w:t>
      </w:r>
    </w:p>
    <w:p>
      <w:pPr>
        <w:pStyle w:val="ListBullet"/>
      </w:pPr>
      <w:r>
        <w:t>Vérifier les besoins incomplets et les brouillons modifiés non republiés.</w:t>
      </w:r>
    </w:p>
    <w:p>
      <w:pPr>
        <w:pStyle w:val="ListBullet"/>
      </w:pPr>
      <w:r>
        <w:t>Contrôler le suivi des traitements si les rappels sont activés.</w:t>
      </w:r>
    </w:p>
    <w:p>
      <w:pPr>
        <w:pStyle w:val="ListBullet"/>
      </w:pPr>
      <w:r>
        <w:t>S’assurer directement de la prise en compte des changements urgents.</w:t>
      </w:r>
    </w:p>
    <w:p>
      <w:pPr>
        <w:pStyle w:val="ListBullet"/>
      </w:pPr>
      <w:r>
        <w:t>Fermer les exports personnels et se déconnecter des appareils partagés.</w:t>
      </w:r>
    </w:p>
    <w:p>
      <w:pPr>
        <w:pStyle w:val="Heading2"/>
      </w:pPr>
      <w:r>
        <w:t>Transmettre un problème utile au référent</w:t>
      </w:r>
    </w:p>
    <w:p>
      <w:r>
        <w:rPr>
          <w:b w:val="0"/>
        </w:rPr>
        <w:t>Relevez l’heure, l’écran, la campagne, la date de garde, le créneau, l’action tentée et le message exact. Indiquez si le problème concerne l’application, l’email, le push ou l’agenda. Ne transmettez ni mot de passe ni adresse privée d’abonnement.</w:t>
      </w:r>
    </w:p>
    <w:p>
      <w:r>
        <w:rPr>
          <w:b w:val="0"/>
        </w:rPr>
        <w:t>Pour une première séance, réalisez avec le référent une publication mensuelle, un appel élargi, une confirmation et un abonnement sur un compte de test prévu à cet effet. Vérifiez les destinataires avant toute action qui envoie un message.</w:t>
      </w:r>
    </w:p>
    <w:sectPr w:rsidR="00FC693F" w:rsidRPr="0006063C" w:rsidSect="00034616">
      <w:footerReference w:type="default" r:id="rId9"/>
      <w:headerReference w:type="default" r:id="rId10"/>
      <w:pgSz w:w="11906" w:h="16838"/>
      <w:pgMar w:top="1020" w:right="1134" w:bottom="1020" w:left="1134" w:header="720" w:footer="454"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right"/>
    </w:pPr>
    <w:r>
      <w:rPr>
        <w:sz w:val="18"/>
      </w:rPr>
      <w:t xml:space="preserve">DispoSP · Guide gestionnaires · 21 octobre 2026    |    </w:t>
    </w: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widowControl/>
      <w:spacing w:after="140" w:line="259" w:lineRule="auto" w:before="0"/>
    </w:pPr>
    <w:rPr>
      <w:rFonts w:ascii="Calibri" w:hAnsi="Calibri"/>
      <w:color w:val="000000"/>
      <w:sz w:val="22"/>
      <w:lang w:val="fr-FR"/>
      <w:lang w:val="fr-FR"/>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widowControl/>
      <w:spacing w:before="0" w:after="180" w:line="259" w:lineRule="auto"/>
      <w:outlineLvl w:val="0"/>
    </w:pPr>
    <w:rPr>
      <w:rFonts w:asciiTheme="majorHAnsi" w:eastAsiaTheme="majorEastAsia" w:hAnsiTheme="majorHAnsi" w:cstheme="majorBidi" w:ascii="Calibri" w:hAnsi="Calibri"/>
      <w:b/>
      <w:bCs/>
      <w:color w:val="000000"/>
      <w:sz w:val="44"/>
      <w:szCs w:val="28"/>
    </w:rPr>
  </w:style>
  <w:style w:type="paragraph" w:styleId="Heading2">
    <w:name w:val="heading 2"/>
    <w:basedOn w:val="Normal"/>
    <w:next w:val="Normal"/>
    <w:link w:val="Heading2Char"/>
    <w:uiPriority w:val="9"/>
    <w:unhideWhenUsed/>
    <w:qFormat/>
    <w:rsid w:val="00FC693F"/>
    <w:pPr>
      <w:keepNext/>
      <w:keepLines/>
      <w:widowControl/>
      <w:spacing w:before="220" w:after="180" w:line="259" w:lineRule="auto"/>
      <w:outlineLvl w:val="1"/>
    </w:pPr>
    <w:rPr>
      <w:rFonts w:asciiTheme="majorHAnsi" w:eastAsiaTheme="majorEastAsia" w:hAnsiTheme="majorHAnsi" w:cstheme="majorBidi" w:ascii="Calibri" w:hAnsi="Calibri"/>
      <w:b/>
      <w:bCs/>
      <w:color w:val="000000"/>
      <w:sz w:val="26"/>
      <w:szCs w:val="26"/>
    </w:rPr>
  </w:style>
  <w:style w:type="paragraph" w:styleId="Heading3">
    <w:name w:val="heading 3"/>
    <w:basedOn w:val="Normal"/>
    <w:next w:val="Normal"/>
    <w:link w:val="Heading3Char"/>
    <w:uiPriority w:val="9"/>
    <w:unhideWhenUsed/>
    <w:qFormat/>
    <w:rsid w:val="00FC693F"/>
    <w:pPr>
      <w:keepNext/>
      <w:keepLines/>
      <w:widowControl/>
      <w:spacing w:before="0" w:after="140" w:line="259" w:lineRule="auto"/>
      <w:outlineLvl w:val="2"/>
    </w:pPr>
    <w:rPr>
      <w:rFonts w:asciiTheme="majorHAnsi" w:eastAsiaTheme="majorEastAsia" w:hAnsiTheme="majorHAnsi" w:cstheme="majorBidi" w:ascii="Calibri" w:hAnsi="Calibri"/>
      <w:b/>
      <w:bCs/>
      <w:color w:val="000000"/>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widowControl/>
      <w:spacing w:after="180" w:line="259" w:lineRule="auto" w:before="0"/>
      <w:contextualSpacing/>
    </w:pPr>
    <w:rPr>
      <w:rFonts w:asciiTheme="majorHAnsi" w:eastAsiaTheme="majorEastAsia" w:hAnsiTheme="majorHAnsi" w:cstheme="majorBidi" w:ascii="Calibri" w:hAnsi="Calibri"/>
      <w:b/>
      <w:color w:val="000000"/>
      <w:spacing w:val="5"/>
      <w:kern w:val="28"/>
      <w:sz w:val="5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keepNext/>
      <w:widowControl/>
      <w:numPr>
        <w:ilvl w:val="1"/>
      </w:numPr>
      <w:spacing w:after="180" w:line="259" w:lineRule="auto" w:before="0"/>
    </w:pPr>
    <w:rPr>
      <w:rFonts w:asciiTheme="majorHAnsi" w:eastAsiaTheme="majorEastAsia" w:hAnsiTheme="majorHAnsi" w:cstheme="majorBidi" w:ascii="Calibri" w:hAnsi="Calibri"/>
      <w:b w:val="0"/>
      <w:i/>
      <w:iCs/>
      <w:color w:val="000000"/>
      <w:spacing w:val="15"/>
      <w:sz w:val="28"/>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widowControl/>
      <w:numPr>
        <w:numId w:val="1"/>
      </w:numPr>
      <w:spacing w:after="140" w:line="259" w:lineRule="auto" w:before="0"/>
      <w:contextualSpacing/>
    </w:pPr>
    <w:rPr>
      <w:rFonts w:ascii="Calibri" w:hAnsi="Calibri"/>
      <w:color w:val="000000"/>
      <w:sz w:val="22"/>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widowControl/>
      <w:numPr>
        <w:numId w:val="5"/>
      </w:numPr>
      <w:spacing w:after="140" w:line="259" w:lineRule="auto" w:before="0"/>
      <w:contextualSpacing/>
    </w:pPr>
    <w:rPr>
      <w:rFonts w:ascii="Calibri" w:hAnsi="Calibri"/>
      <w:color w:val="000000"/>
      <w:sz w:val="22"/>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DispoSP Guide de prise en main des gestionnaires</dc:title>
  <dc:subject>Guide gestionnaires</dc:subject>
  <dc:creator>DispoSP</dc:creator>
  <cp:keywords>DispoSP, gestionnaire, guide, planning, disponibilités</cp:keywords>
  <dc:description/>
  <cp:lastModifiedBy/>
  <cp:revision>1</cp:revision>
  <dcterms:created xsi:type="dcterms:W3CDTF">2013-12-23T23:15:00Z</dcterms:created>
  <dcterms:modified xsi:type="dcterms:W3CDTF">2013-12-23T23:15:00Z</dcterms:modified>
  <cp:category/>
</cp:coreProperties>
</file>