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592000" cy="91085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92000" cy="910855"/>
                    </a:xfrm>
                    <a:prstGeom prst="rect"/>
                  </pic:spPr>
                </pic:pic>
              </a:graphicData>
            </a:graphic>
          </wp:inline>
        </w:drawing>
      </w:r>
    </w:p>
    <w:p>
      <w:pPr>
        <w:pStyle w:val="Title"/>
      </w:pPr>
      <w:r>
        <w:t>DispoSP</w:t>
        <w:br/>
        <w:t>Dossier de présentation</w:t>
      </w:r>
    </w:p>
    <w:p>
      <w:pPr>
        <w:pStyle w:val="Subtitle"/>
      </w:pPr>
      <w:r>
        <w:t>Disponibilités et organisation des gardes</w:t>
      </w:r>
    </w:p>
    <w:p>
      <w:r>
        <w:rPr>
          <w:b/>
        </w:rPr>
        <w:t>Pour les chefs de centre et les responsables de la planification</w:t>
      </w:r>
    </w:p>
    <w:p>
      <w:r>
        <w:rPr>
          <w:b w:val="0"/>
        </w:rPr>
        <w:t>Édition du 21 octobre 2026</w:t>
      </w:r>
    </w:p>
    <w:p>
      <w:pPr>
        <w:pStyle w:val="Heading2"/>
      </w:pPr>
      <w:r>
        <w:t>Le projet</w:t>
      </w:r>
    </w:p>
    <w:p>
      <w:r>
        <w:rPr>
          <w:b w:val="0"/>
        </w:rPr>
        <w:t>DispoSP réunit les disponibilités des sapeurs-pompiers, les besoins du centre et les gardes publiées dans une application accessible sur ordinateur et téléphone. Les agents répondent aux campagnes ; les gestionnaires choisissent les affectations et publient le planning.</w:t>
      </w:r>
    </w:p>
    <w:p>
      <w:r>
        <w:rPr>
          <w:b w:val="0"/>
        </w:rPr>
        <w:t>La version d’octobre étend ce circuit à la publication mensuelle, aux appels à remplacement, aux rappels automatiques et à l’abonnement à un agenda personnel. Le gestionnaire conserve la décision finale : une disponibilité ou une candidature ne confirme pas une garde.</w:t>
      </w:r>
    </w:p>
    <w:p>
      <w:pPr>
        <w:pStyle w:val="Heading2"/>
      </w:pPr>
      <w:r>
        <w:t>Ce que le centre peut en attendre</w:t>
      </w:r>
    </w:p>
    <w:p>
      <w:pPr>
        <w:pStyle w:val="ListBullet"/>
      </w:pPr>
      <w:r>
        <w:t>Rassembler les réponses et repérer les manques d’effectif ou de qualification.</w:t>
      </w:r>
    </w:p>
    <w:p>
      <w:pPr>
        <w:pStyle w:val="ListBullet"/>
      </w:pPr>
      <w:r>
        <w:t>Publier les gardes prêtes d’un mois depuis un seul aperçu.</w:t>
      </w:r>
    </w:p>
    <w:p>
      <w:pPr>
        <w:pStyle w:val="ListBullet"/>
      </w:pPr>
      <w:r>
        <w:t>Solliciter des remplaçants et suivre les propositions au même endroit.</w:t>
      </w:r>
    </w:p>
    <w:p>
      <w:pPr>
        <w:pStyle w:val="ListBullet"/>
      </w:pPr>
      <w:r>
        <w:t>Informer les agents et limiter les oublis grâce aux rappels et à l’agenda.</w:t>
      </w:r>
    </w:p>
    <w:p>
      <w:r>
        <w:rPr>
          <w:b w:val="0"/>
        </w:rPr>
        <w:t>Ces bénéfices sont des objectifs d’usage. Le temps gagné et les délais de remplacement restent à mesurer au centre.</w:t>
      </w:r>
    </w:p>
    <w:p>
      <w:pPr>
        <w:pStyle w:val="Heading2"/>
      </w:pPr>
      <w:r>
        <w:t>Dans ce dossier</w:t>
      </w:r>
    </w:p>
    <w:p>
      <w:r>
        <w:rPr>
          <w:b w:val="0"/>
        </w:rPr>
        <w:t>Rôles et disponibilités · 2</w:t>
        <w:br/>
        <w:t>Planning et publication · 3</w:t>
        <w:br/>
        <w:t>Remplacements · 4</w:t>
        <w:br/>
        <w:t>Notifications et agenda · 5</w:t>
        <w:br/>
        <w:t>État du produit et mise en service · 6</w:t>
      </w:r>
    </w:p>
    <w:p>
      <w:r>
        <w:br w:type="page"/>
      </w:r>
    </w:p>
    <w:p>
      <w:pPr>
        <w:pStyle w:val="Heading1"/>
      </w:pPr>
      <w:r>
        <w:t>Les rôles et les disponibilités</w:t>
      </w:r>
    </w:p>
    <w:p>
      <w:r>
        <w:rPr>
          <w:b w:val="0"/>
        </w:rPr>
        <w:t>Une campagne concerne une équipe et un mois. Les réponses attendues portent sur les agents actifs qui prennent des gardes. Dans le modèle actuel, les gestionnaires et administrateurs assurent l’encadrement et ne prennent pas de gardes.</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Rôle</w:t>
            </w:r>
          </w:p>
        </w:tc>
        <w:tc>
          <w:tcPr>
            <w:tcW w:type="dxa" w:w="7370"/>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Responsabilités</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Agent</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Renseigner et valider ses disponibilités, consulter ses gardes, répondre aux appels et signaler un empêchement.</w:t>
            </w:r>
          </w:p>
        </w:tc>
      </w:tr>
      <w:tr>
        <w:trPr>
          <w:cantSplit/>
        </w:trPr>
        <w:tc>
          <w:tcPr>
            <w:tcW w:type="dxa" w:w="226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Gestionnaire</w:t>
            </w:r>
          </w:p>
        </w:tc>
        <w:tc>
          <w:tcPr>
            <w:tcW w:type="dxa" w:w="737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Gérer les campagnes, besoins, agents et qualifications ; préparer, publier et remplacer dans son centre.</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Administrateur</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Exercer les responsabilités de gestion et les droits supplémentaires sur les rôles.</w:t>
            </w:r>
          </w:p>
        </w:tc>
      </w:tr>
    </w:tbl>
    <w:p>
      <w:pPr>
        <w:spacing w:after="0"/>
      </w:pPr>
    </w:p>
    <w:p>
      <w:pPr>
        <w:pStyle w:val="Heading2"/>
      </w:pPr>
      <w:r>
        <w:t>Une réponse explicite</w:t>
      </w:r>
    </w:p>
    <w:p>
      <w:r>
        <w:rPr>
          <w:b w:val="0"/>
        </w:rPr>
        <w:t>Le calendrier propose Jour, Nuit, 24 h, Indisponible et Non renseigné. La saisie rapide remplit une période ou applique une semaine type, qui peut être conservée pour les mois suivants. L’agent vérifie les exceptions puis valide sa réponse complète.</w:t>
      </w:r>
    </w:p>
    <w:p>
      <w:r>
        <w:rPr>
          <w:b w:val="0"/>
        </w:rPr>
        <w:t>Une modification invalide la validation précédente. Le verrouillage manuel suspend les réponses et peut être levé avant l’échéance. La date de clôture ferme définitivement la collecte de cette campagne ; elle ne publie aucune garde.</w:t>
      </w:r>
    </w:p>
    <w:p>
      <w:pPr>
        <w:pStyle w:val="Heading2"/>
      </w:pPr>
      <w:r>
        <w:t>Des créneaux définis par campagne</w:t>
      </w:r>
    </w:p>
    <w:tbl>
      <w:tblPr>
        <w:tblW w:type="auto" w:w="0"/>
        <w:jc w:val="center"/>
        <w:tblLayout w:type="fixed"/>
        <w:tblLook w:firstColumn="1" w:firstRow="1" w:lastColumn="0" w:lastRow="0" w:noHBand="0" w:noVBand="1" w:val="04A0"/>
      </w:tblPr>
      <w:tblGrid>
        <w:gridCol w:w="1701"/>
        <w:gridCol w:w="3855"/>
        <w:gridCol w:w="4082"/>
      </w:tblGrid>
      <w:tr>
        <w:trPr>
          <w:cantSplit/>
          <w:tblHeader/>
        </w:trPr>
        <w:tc>
          <w:tcPr>
            <w:tcW w:type="dxa" w:w="1701"/>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Créneau</w:t>
            </w:r>
          </w:p>
        </w:tc>
        <w:tc>
          <w:tcPr>
            <w:tcW w:type="dxa" w:w="3855"/>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Horaires par défaut</w:t>
            </w:r>
          </w:p>
        </w:tc>
        <w:tc>
          <w:tcPr>
            <w:tcW w:type="dxa" w:w="4082"/>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Date de rattachement</w:t>
            </w:r>
          </w:p>
        </w:tc>
      </w:tr>
      <w:tr>
        <w:trPr>
          <w:cantSplit/>
        </w:trPr>
        <w:tc>
          <w:tcPr>
            <w:tcW w:type="dxa" w:w="170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Jour</w:t>
            </w:r>
          </w:p>
        </w:tc>
        <w:tc>
          <w:tcPr>
            <w:tcW w:type="dxa" w:w="385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8 h à 20 h</w:t>
            </w:r>
          </w:p>
        </w:tc>
        <w:tc>
          <w:tcPr>
            <w:tcW w:type="dxa" w:w="408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Date du jour</w:t>
            </w:r>
          </w:p>
        </w:tc>
      </w:tr>
      <w:tr>
        <w:trPr>
          <w:cantSplit/>
        </w:trPr>
        <w:tc>
          <w:tcPr>
            <w:tcW w:type="dxa" w:w="170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Nuit</w:t>
            </w:r>
          </w:p>
        </w:tc>
        <w:tc>
          <w:tcPr>
            <w:tcW w:type="dxa" w:w="385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20 h à 8 h le lendemain</w:t>
            </w:r>
          </w:p>
        </w:tc>
        <w:tc>
          <w:tcPr>
            <w:tcW w:type="dxa" w:w="408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Date de début de nuit</w:t>
            </w:r>
          </w:p>
        </w:tc>
      </w:tr>
      <w:tr>
        <w:trPr>
          <w:cantSplit/>
        </w:trPr>
        <w:tc>
          <w:tcPr>
            <w:tcW w:type="dxa" w:w="170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24 h</w:t>
            </w:r>
          </w:p>
        </w:tc>
        <w:tc>
          <w:tcPr>
            <w:tcW w:type="dxa" w:w="385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8 h à 8 h le lendemain</w:t>
            </w:r>
          </w:p>
        </w:tc>
        <w:tc>
          <w:tcPr>
            <w:tcW w:type="dxa" w:w="408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Jour et Nuit de la même date</w:t>
            </w:r>
          </w:p>
        </w:tc>
      </w:tr>
    </w:tbl>
    <w:p>
      <w:pPr>
        <w:spacing w:after="0"/>
      </w:pPr>
    </w:p>
    <w:p>
      <w:r>
        <w:rPr>
          <w:b w:val="0"/>
        </w:rPr>
        <w:t>Les horaires se règlent pour les nouvelles campagnes. Une disponibilité 24 h couvre potentiellement les deux créneaux ; elle ne crée aucune affectation automatique.</w:t>
      </w:r>
    </w:p>
    <w:p>
      <w:pPr>
        <w:pStyle w:val="Heading2"/>
      </w:pPr>
      <w:r>
        <w:t>Des accès propres à chaque personne</w:t>
      </w:r>
    </w:p>
    <w:p>
      <w:r>
        <w:rPr>
          <w:b w:val="0"/>
        </w:rPr>
        <w:t>L’arrivée passe par une invitation. L’agent choisit lui-même son mot de passe. Un gestionnaire peut inviter un agent ou un gestionnaire ; seul un administrateur peut attribuer le rôle administrateur. Les droits sont contrôlés par centre et côté base de données.</w:t>
      </w:r>
    </w:p>
    <w:p>
      <w:r>
        <w:br w:type="page"/>
      </w:r>
    </w:p>
    <w:p>
      <w:pPr>
        <w:pStyle w:val="Heading1"/>
      </w:pPr>
      <w:r>
        <w:t>Préparer et publier le planning</w:t>
      </w:r>
    </w:p>
    <w:p>
      <w:pPr>
        <w:pStyle w:val="Heading2"/>
      </w:pPr>
      <w:r>
        <w:t>Trois mesures distinctes</w:t>
      </w:r>
    </w:p>
    <w:tbl>
      <w:tblPr>
        <w:tblW w:type="auto" w:w="0"/>
        <w:jc w:val="center"/>
        <w:tblLayout w:type="fixed"/>
        <w:tblLook w:firstColumn="1" w:firstRow="1" w:lastColumn="0" w:lastRow="0" w:noHBand="0" w:noVBand="1" w:val="04A0"/>
      </w:tblPr>
      <w:tblGrid>
        <w:gridCol w:w="2948"/>
        <w:gridCol w:w="6690"/>
      </w:tblGrid>
      <w:tr>
        <w:trPr>
          <w:cantSplit/>
          <w:tblHeader/>
        </w:trPr>
        <w:tc>
          <w:tcPr>
            <w:tcW w:type="dxa" w:w="2948"/>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Mesure</w:t>
            </w:r>
          </w:p>
        </w:tc>
        <w:tc>
          <w:tcPr>
            <w:tcW w:type="dxa" w:w="6690"/>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Signification</w:t>
            </w:r>
          </w:p>
        </w:tc>
      </w:tr>
      <w:tr>
        <w:trPr>
          <w:cantSplit/>
        </w:trPr>
        <w:tc>
          <w:tcPr>
            <w:tcW w:type="dxa" w:w="294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Couverture potentielle</w:t>
            </w:r>
          </w:p>
        </w:tc>
        <w:tc>
          <w:tcPr>
            <w:tcW w:type="dxa" w:w="669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Ressources issues des disponibilités validées.</w:t>
            </w:r>
          </w:p>
        </w:tc>
      </w:tr>
      <w:tr>
        <w:trPr>
          <w:cantSplit/>
        </w:trPr>
        <w:tc>
          <w:tcPr>
            <w:tcW w:type="dxa" w:w="294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Couverture planifiée</w:t>
            </w:r>
          </w:p>
        </w:tc>
        <w:tc>
          <w:tcPr>
            <w:tcW w:type="dxa" w:w="669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Agents retenus dans le brouillon.</w:t>
            </w:r>
          </w:p>
        </w:tc>
      </w:tr>
      <w:tr>
        <w:trPr>
          <w:cantSplit/>
        </w:trPr>
        <w:tc>
          <w:tcPr>
            <w:tcW w:type="dxa" w:w="294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Planning publié</w:t>
            </w:r>
          </w:p>
        </w:tc>
        <w:tc>
          <w:tcPr>
            <w:tcW w:type="dxa" w:w="669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Version confirmée et consultable par les agents concernés.</w:t>
            </w:r>
          </w:p>
        </w:tc>
      </w:tr>
    </w:tbl>
    <w:p>
      <w:pPr>
        <w:spacing w:after="0"/>
      </w:pPr>
    </w:p>
    <w:p>
      <w:r>
        <w:rPr>
          <w:b w:val="0"/>
        </w:rPr>
        <w:t>Pour un besoin de huit personnes, huit disponibles et six affectées donnent une couverture potentielle de 8/8 et planifiée de 6/8. Les qualifications restent à contrôler séparément.</w:t>
      </w:r>
    </w:p>
    <w:p>
      <w:pPr>
        <w:pStyle w:val="Heading2"/>
      </w:pPr>
      <w:r>
        <w:t>Construire les gardes</w:t>
      </w:r>
    </w:p>
    <w:p>
      <w:r>
        <w:rPr>
          <w:b w:val="0"/>
        </w:rPr>
        <w:t>Le gestionnaire renseigne les besoins d’effectif et les minima de qualification, puis compose le brouillon Jour et Nuit. Un agent peut satisfaire plusieurs minima, mais ne compte qu’une fois dans l’effectif. Les qualifications reposent sur leurs intitulés exacts, sans équivalence implicite.</w:t>
      </w:r>
    </w:p>
    <w:p>
      <w:r>
        <w:rPr>
          <w:b w:val="0"/>
        </w:rPr>
        <w:t>La règle de repos du centre est désormais contrôlée : après une garde, le repos doit être au moins égal à sa durée. Avec les horaires par défaut, cela représente 12 h après une garde de 12 h et 24 h après le Jour et la Nuit d’une même date. Une Nuit suivie du Jour du lendemain est refusée. Les engagements extérieurs non enregistrés restent à vérifier par le centre.</w:t>
      </w:r>
    </w:p>
    <w:p>
      <w:pPr>
        <w:pStyle w:val="Heading2"/>
      </w:pPr>
      <w:r>
        <w:t>Publier les créneaux prêts du mois</w:t>
      </w:r>
    </w:p>
    <w:p>
      <w:r>
        <w:rPr>
          <w:b w:val="0"/>
        </w:rPr>
        <w:t>« Publier le mois » présente les créneaux prêts, bloqués et inchangés de la campagne sélectionnée. Le gestionnaire examine les motifs, puis confirme le nombre exact de créneaux prêts. Les créneaux bloqués conservent leur publication précédente ; un brouillon incomplet ne l’efface pas.</w:t>
      </w:r>
    </w:p>
    <w:p>
      <w:r>
        <w:rPr>
          <w:b w:val="0"/>
        </w:rPr>
        <w:t>La publication groupée est transactionnelle et refuse un aperçu devenu périmé. Les agents dont les gardes changent reçoivent un récapitulatif personnel, sans avis supplémentaire pour chaque créneau. Un retrait déjà notifié par un désistement accepté ne produit pas un nouvel avis redondant.</w:t>
      </w:r>
    </w:p>
    <w:p>
      <w:pPr>
        <w:pStyle w:val="Heading2"/>
      </w:pPr>
      <w:r>
        <w:t>Garder une version de référence</w:t>
      </w:r>
    </w:p>
    <w:p>
      <w:r>
        <w:rPr>
          <w:b w:val="0"/>
        </w:rPr>
        <w:t>La publication unitaire reste disponible. Modifier un brouillon ne change pas immédiatement le planning de l’agent : il faut republier. Le centre doit distinguer la préparation en cours de la dernière version confirmée.</w:t>
      </w:r>
    </w:p>
    <w:p>
      <w:r>
        <w:br w:type="page"/>
      </w:r>
    </w:p>
    <w:p>
      <w:pPr>
        <w:pStyle w:val="Heading1"/>
      </w:pPr>
      <w:r>
        <w:t>Organiser un remplacement</w:t>
      </w:r>
    </w:p>
    <w:p>
      <w:r>
        <w:rPr>
          <w:b w:val="0"/>
        </w:rPr>
        <w:t>Le remplacement devient un parcours suivi dans l’application : le gestionnaire lance un appel, les agents se proposent, puis il retient et confirme les personnes nécessaires. Il peut aussi chercher du renfort sur une garde insuffisamment couverte.</w:t>
      </w:r>
    </w:p>
    <w:p>
      <w:pPr>
        <w:pStyle w:val="Heading2"/>
      </w:pPr>
      <w:r>
        <w:t>Du besoin à la confirmation</w:t>
      </w:r>
    </w:p>
    <w:p>
      <w:pPr>
        <w:ind w:left="272" w:hanging="272"/>
      </w:pPr>
      <w:r>
        <w:rPr>
          <w:b/>
        </w:rPr>
        <w:t xml:space="preserve">1. </w:t>
      </w:r>
      <w:r>
        <w:t>Depuis un désistement, choisir « Accepter et chercher un remplaçant » ; depuis le planning, choisir « Chercher du renfort ».</w:t>
      </w:r>
    </w:p>
    <w:p>
      <w:pPr>
        <w:ind w:left="272" w:hanging="272"/>
      </w:pPr>
      <w:r>
        <w:rPr>
          <w:b/>
        </w:rPr>
        <w:t xml:space="preserve">2. </w:t>
      </w:r>
      <w:r>
        <w:t>Vérifier le besoin restant et le nombre de destinataires avant de lancer l’appel.</w:t>
      </w:r>
    </w:p>
    <w:p>
      <w:pPr>
        <w:ind w:left="272" w:hanging="272"/>
      </w:pPr>
      <w:r>
        <w:rPr>
          <w:b/>
        </w:rPr>
        <w:t xml:space="preserve">3. </w:t>
      </w:r>
      <w:r>
        <w:t>Solliciter d’abord les agents de l’équipe dont la disponibilité validée correspond et qui satisfont les critères de qualification et de repos.</w:t>
      </w:r>
    </w:p>
    <w:p>
      <w:pPr>
        <w:ind w:left="272" w:hanging="272"/>
      </w:pPr>
      <w:r>
        <w:rPr>
          <w:b/>
        </w:rPr>
        <w:t xml:space="preserve">4. </w:t>
      </w:r>
      <w:r>
        <w:t>Au besoin, élargir explicitement l’appel aux agents sans disponibilité validée. Ils doivent déclarer leur disponibilité pour cette garde.</w:t>
      </w:r>
    </w:p>
    <w:p>
      <w:pPr>
        <w:ind w:left="272" w:hanging="272"/>
      </w:pPr>
      <w:r>
        <w:rPr>
          <w:b/>
        </w:rPr>
        <w:t xml:space="preserve">5. </w:t>
      </w:r>
      <w:r>
        <w:t>Examiner les propositions, retenir les candidats dans le brouillon, puis « Confirmer et publier » lorsque le besoin est couvert.</w:t>
      </w:r>
    </w:p>
    <w:p>
      <w:pPr>
        <w:pStyle w:val="Heading2"/>
      </w:pPr>
      <w:r>
        <w:t>Une candidature reste une proposition</w:t>
      </w:r>
    </w:p>
    <w:p>
      <w:r>
        <w:rPr>
          <w:b w:val="0"/>
        </w:rPr>
        <w:t>Dans « Appels », l’agent choisit « Je me propose ». Tant que la garde n’est pas publiée, il n’est ni confirmé dans son planning ni ajouté à son agenda. Il peut retirer sa proposition, même si elle a été retenue dans le brouillon.</w:t>
      </w:r>
    </w:p>
    <w:p>
      <w:r>
        <w:rPr>
          <w:b w:val="0"/>
        </w:rPr>
        <w:t>La disponibilité exceptionnelle ne rouvre pas la campagne et ne réécrit pas sa réponse initiale. Elle porte sur les horaires précis de l’appel. Le motif privé du désistement et le nom de la personne remplacée ne sont pas communiqués aux candidats.</w:t>
      </w:r>
    </w:p>
    <w:p>
      <w:pPr>
        <w:pStyle w:val="Heading2"/>
      </w:pPr>
      <w:r>
        <w:t>Une issue visible</w:t>
      </w:r>
    </w:p>
    <w:p>
      <w:r>
        <w:rPr>
          <w:b w:val="0"/>
        </w:rPr>
        <w:t>Une publication qui couvre le besoin clôt l’appel. Les agents retenus sont confirmés et les autres candidats apprennent que la recherche est terminée. Un appel peut aussi être annulé ou expirer au début de la garde ; ces issues ne valent pas remplacement réussi.</w:t>
      </w:r>
    </w:p>
    <w:p>
      <w:r>
        <w:rPr>
          <w:b/>
        </w:rPr>
        <w:t>Accepter un désistement ne suffit pas à remplacer l’agent. L’encadrement doit vérifier le brouillon, la nouvelle publication et l’information des personnes concernées, particulièrement pour une modification urgente.</w:t>
      </w:r>
    </w:p>
    <w:p>
      <w:r>
        <w:br w:type="page"/>
      </w:r>
    </w:p>
    <w:p>
      <w:pPr>
        <w:pStyle w:val="Heading1"/>
      </w:pPr>
      <w:r>
        <w:t>Informer les agents au quotidien</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Canal</w:t>
            </w:r>
          </w:p>
        </w:tc>
        <w:tc>
          <w:tcPr>
            <w:tcW w:type="dxa" w:w="7370"/>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Usage et conditions</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Application</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Consulter les événements et leur état de lecture dans un espace authentifié.</w:t>
            </w:r>
          </w:p>
        </w:tc>
      </w:tr>
      <w:tr>
        <w:trPr>
          <w:cantSplit/>
        </w:trPr>
        <w:tc>
          <w:tcPr>
            <w:tcW w:type="dxa" w:w="226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Email</w:t>
            </w:r>
          </w:p>
        </w:tc>
        <w:tc>
          <w:tcPr>
            <w:tcW w:type="dxa" w:w="737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Recevoir les événements métier et les détails de ses gardes, lorsque le service d’envoi est configuré.</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Téléphone</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Recevoir un push sur chaque appareil où le compte l’a activé ; le texte sur écran verrouillé reste discret.</w:t>
            </w:r>
          </w:p>
        </w:tc>
      </w:tr>
    </w:tbl>
    <w:p>
      <w:pPr>
        <w:spacing w:after="0"/>
      </w:pPr>
    </w:p>
    <w:p>
      <w:pPr>
        <w:pStyle w:val="Heading2"/>
      </w:pPr>
      <w:r>
        <w:t>Rappels et reprises automatiques</w:t>
      </w:r>
    </w:p>
    <w:p>
      <w:r>
        <w:rPr>
          <w:b w:val="0"/>
        </w:rPr>
        <w:t>Les traitements planifiés créent les rappels et reprennent les envois en attente sans action utilisateur. Le rappel de garde part la veille à l’heure choisie par le centre, 18 h par défaut. Le Jour et la Nuit d’une même date donnent un seul rappel de 24 h. Les agents sans réponse validée peuvent être relancés 48 h puis 24 h avant clôture.</w:t>
      </w:r>
    </w:p>
    <w:p>
      <w:r>
        <w:rPr>
          <w:b w:val="0"/>
        </w:rPr>
        <w:t>La mise en service technique et l’activation des rappels dans « Paramètres » sont deux étapes distinctes. Le suivi affiche les derniers passages et les files d’envoi. Un rappel devenu obsolète est écarté avant l’envoi ; un message déjà remis au fournisseur ne peut pas être rappelé.</w:t>
      </w:r>
    </w:p>
    <w:p>
      <w:pPr>
        <w:pStyle w:val="Heading2"/>
      </w:pPr>
      <w:r>
        <w:t>Un agenda personnel abonné</w:t>
      </w:r>
    </w:p>
    <w:p>
      <w:r>
        <w:rPr>
          <w:b w:val="0"/>
        </w:rPr>
        <w:t>Depuis « Mon planning », l’agent crée une adresse privée à ajouter à Apple Calendrier, Google Agenda ou Outlook. Le flux contient ses gardes publiées encore tenues, sur une fenêtre de trois mois passés et douze mois à venir. Les propositions et brouillons sont exclus.</w:t>
      </w:r>
    </w:p>
    <w:p>
      <w:r>
        <w:rPr>
          <w:b w:val="0"/>
        </w:rPr>
        <w:t>L’adresse n’est affichée qu’à sa création. La renouveler invalide l’ancienne ; la révoquer coupe l’accès. Elle doit rester confidentielle. La synchronisation dépend du logiciel d’agenda et peut être différée : elle ne remplace ni le planning actualisé dans DispoSP ni les notifications urgentes.</w:t>
      </w:r>
    </w:p>
    <w:p>
      <w:pPr>
        <w:pStyle w:val="Heading2"/>
      </w:pPr>
      <w:r>
        <w:t>Téléphone et accès réseau</w:t>
      </w:r>
    </w:p>
    <w:p>
      <w:r>
        <w:rPr>
          <w:b w:val="0"/>
        </w:rPr>
        <w:t>L’application peut être ajoutée à l’écran d’accueil. Les données métier exigent une connexion ; l’installation ne fournit pas un planning complet hors ligne. Les notifications servent à organiser les gardes, sans se substituer au système d’alerte opérationnelle du centre.</w:t>
      </w:r>
    </w:p>
    <w:p>
      <w:r>
        <w:br w:type="page"/>
      </w:r>
    </w:p>
    <w:p>
      <w:pPr>
        <w:pStyle w:val="Heading1"/>
      </w:pPr>
      <w:r>
        <w:t>État du produit et mise en service</w:t>
      </w:r>
    </w:p>
    <w:p>
      <w:pPr>
        <w:pStyle w:val="Heading2"/>
      </w:pPr>
      <w:r>
        <w:t>Les évolutions présentes</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Évolution</w:t>
            </w:r>
          </w:p>
        </w:tc>
        <w:tc>
          <w:tcPr>
            <w:tcW w:type="dxa" w:w="6576"/>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État de la version du 21 octobre</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Traitements et rappels</w:t>
            </w:r>
          </w:p>
        </w:tc>
        <w:tc>
          <w:tcPr>
            <w:tcW w:type="dxa" w:w="657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Traitements planifiés activés sur le site ; vérifier le réglage des rappels du centre et la réception effective.</w:t>
            </w:r>
          </w:p>
        </w:tc>
      </w:tr>
      <w:tr>
        <w:trPr>
          <w:cantSplit/>
        </w:trPr>
        <w:tc>
          <w:tcPr>
            <w:tcW w:type="dxa" w:w="306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Publication mensuelle</w:t>
            </w:r>
          </w:p>
        </w:tc>
        <w:tc>
          <w:tcPr>
            <w:tcW w:type="dxa" w:w="657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Développée, avec aperçu et avis groupés.</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Appels et repos</w:t>
            </w:r>
          </w:p>
        </w:tc>
        <w:tc>
          <w:tcPr>
            <w:tcW w:type="dxa" w:w="657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Développés, avec candidature et confirmation par le gestionnaire.</w:t>
            </w:r>
          </w:p>
        </w:tc>
      </w:tr>
      <w:tr>
        <w:trPr>
          <w:cantSplit/>
        </w:trPr>
        <w:tc>
          <w:tcPr>
            <w:tcW w:type="dxa" w:w="306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Agenda abonné</w:t>
            </w:r>
          </w:p>
        </w:tc>
        <w:tc>
          <w:tcPr>
            <w:tcW w:type="dxa" w:w="657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Développé ; synchronisation réelle sur les logiciels utilisés à vérifier.</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Photographies historiques</w:t>
            </w:r>
          </w:p>
        </w:tc>
        <w:tc>
          <w:tcPr>
            <w:tcW w:type="dxa" w:w="657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Capture des publications, clôtures et débuts de garde développée.</w:t>
            </w:r>
          </w:p>
        </w:tc>
      </w:tr>
      <w:tr>
        <w:trPr>
          <w:cantSplit/>
        </w:trPr>
        <w:tc>
          <w:tcPr>
            <w:tcW w:type="dxa" w:w="306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Bilan mensuel transmissible</w:t>
            </w:r>
          </w:p>
        </w:tc>
        <w:tc>
          <w:tcPr>
            <w:tcW w:type="dxa" w:w="657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À développer. Les statistiques actuelles ne constituent pas encore ce bilan historique.</w:t>
            </w:r>
          </w:p>
        </w:tc>
      </w:tr>
    </w:tbl>
    <w:p>
      <w:pPr>
        <w:spacing w:after="0"/>
      </w:pPr>
    </w:p>
    <w:p>
      <w:pPr>
        <w:pStyle w:val="Heading2"/>
      </w:pPr>
      <w:r>
        <w:t>Des chiffres à interpréter correctement</w:t>
      </w:r>
    </w:p>
    <w:p>
      <w:r>
        <w:rPr>
          <w:b w:val="0"/>
        </w:rPr>
        <w:t>Les statistiques visibles restent liées à l’effectif actuel. Les nouvelles photographies préparent un futur bilan stable, sans reconstituer les périodes antérieures à leur activation. Le retrait d’un compte et la purge distinguent les détails individuels des faits statistiques ; leur conservation reste soumise aux règles validées par le centre et son DPO.</w:t>
      </w:r>
    </w:p>
    <w:p>
      <w:pPr>
        <w:pStyle w:val="Heading2"/>
      </w:pPr>
      <w:r>
        <w:t>Conditions de mise en service</w:t>
      </w:r>
    </w:p>
    <w:p>
      <w:r>
        <w:rPr>
          <w:b w:val="0"/>
        </w:rPr>
        <w:t>Le porteur du projet confirme le 21 octobre que les cinq migrations des 20 et 21 octobre sont appliquées et les traitements planifiés activés sur le site. La vérification progressive porte désormais sur les passages effectifs, les réglages du centre, la réception sur téléphone et la synchronisation des agendas.</w:t>
      </w:r>
    </w:p>
    <w:p>
      <w:r>
        <w:rPr>
          <w:b w:val="0"/>
        </w:rPr>
        <w:t>La validation juridique des traitements, les durées de conservation, les contrats des prestataires, la notice aux agents, la sauvegarde et la restauration restent des points de mise en service à confirmer. La présence de contrôles techniques ne vaut pas validation RGPD.</w:t>
      </w:r>
    </w:p>
    <w:p>
      <w:pPr>
        <w:pStyle w:val="Heading2"/>
      </w:pPr>
      <w:r>
        <w:t>Prochaine étape</w:t>
      </w:r>
    </w:p>
    <w:p>
      <w:r>
        <w:rPr>
          <w:b w:val="0"/>
        </w:rPr>
        <w:t>Accompagner les gestionnaires sur une campagne : publication partielle du mois, remplacement après clôture, rappel de garde et abonnement à un agenda. Relever les difficultés et délais constatés, puis développer le bilan mensuel à partir des photographies collectées.</w:t>
      </w:r>
    </w:p>
    <w:p>
      <w:r>
        <w:rPr>
          <w:b w:val="0"/>
        </w:rPr>
        <w:t>Le guide des gestionnaires daté du 21 octobre 2026 décrit les actions à réaliser. L’analyse de la même date détaille les vérifications techniques et les points restant à contrôler.</w:t>
      </w:r>
    </w:p>
    <w:sectPr w:rsidR="00FC693F" w:rsidRPr="0006063C" w:rsidSect="00034616">
      <w:footerReference w:type="default" r:id="rId9"/>
      <w:headerReference w:type="default" r:id="rId11"/>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DispoSP · Présentation · 21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before="0"/>
    </w:pPr>
    <w:rPr>
      <w:rFonts w:ascii="Calibri" w:hAnsi="Calibri"/>
      <w:color w:val="000000"/>
      <w:sz w:val="22"/>
      <w:lang w:val="fr-FR"/>
      <w:lang w:val="fr-FR"/>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line="259" w:lineRule="auto"/>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220" w:after="18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59"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80" w:before="0" w:line="259" w:lineRule="auto"/>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before="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before="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DispoSP Présentation de la gestion des gardes</dc:title>
  <dc:subject>Présentation</dc:subject>
  <dc:creator>DispoSP</dc:creator>
  <cp:keywords>DispoSP, disponibilités, gardes, sapeurs-pompiers</cp:keywords>
  <dc:description/>
  <cp:lastModifiedBy/>
  <cp:revision>1</cp:revision>
  <dcterms:created xsi:type="dcterms:W3CDTF">2013-12-23T23:15:00Z</dcterms:created>
  <dcterms:modified xsi:type="dcterms:W3CDTF">2013-12-23T23:15:00Z</dcterms:modified>
  <cp:category/>
</cp:coreProperties>
</file>