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0"/>
      </w:pPr>
      <w:r>
        <w:drawing>
          <wp:inline xmlns:a="http://schemas.openxmlformats.org/drawingml/2006/main" xmlns:pic="http://schemas.openxmlformats.org/drawingml/2006/picture">
            <wp:extent cx="3420000" cy="1201822"/>
            <wp:docPr id="1" name="Picture 1" descr="Logo DispoSP associant une flamme et un calendrier"/>
            <wp:cNvGraphicFramePr>
              <a:graphicFrameLocks noChangeAspect="1"/>
            </wp:cNvGraphicFramePr>
            <a:graphic>
              <a:graphicData uri="http://schemas.openxmlformats.org/drawingml/2006/picture">
                <pic:pic>
                  <pic:nvPicPr>
                    <pic:cNvPr id="0" name="logo-disposp.png"/>
                    <pic:cNvPicPr/>
                  </pic:nvPicPr>
                  <pic:blipFill>
                    <a:blip r:embed="rId10"/>
                    <a:stretch>
                      <a:fillRect/>
                    </a:stretch>
                  </pic:blipFill>
                  <pic:spPr>
                    <a:xfrm>
                      <a:off x="0" y="0"/>
                      <a:ext cx="3420000" cy="1201822"/>
                    </a:xfrm>
                    <a:prstGeom prst="rect"/>
                  </pic:spPr>
                </pic:pic>
              </a:graphicData>
            </a:graphic>
          </wp:inline>
        </w:drawing>
      </w:r>
    </w:p>
    <w:p>
      <w:pPr>
        <w:pStyle w:val="Title"/>
      </w:pPr>
      <w:r>
        <w:t>DispoSP</w:t>
        <w:br/>
        <w:t>Dossier de présentation</w:t>
      </w:r>
    </w:p>
    <w:p>
      <w:pPr>
        <w:pStyle w:val="Subtitle"/>
      </w:pPr>
      <w:r>
        <w:t>Gestion des disponibilités</w:t>
        <w:br/>
        <w:t>et préparation des gardes</w:t>
      </w:r>
    </w:p>
    <w:p>
      <w:r>
        <w:rPr>
          <w:b/>
        </w:rPr>
        <w:t>Pour les chefs de centre et les responsables de la planification</w:t>
      </w:r>
    </w:p>
    <w:p>
      <w:r>
        <w:rPr>
          <w:b w:val="0"/>
          <w:color w:val="505762"/>
          <w:sz w:val="18"/>
        </w:rPr>
        <w:t>23 septembre 2026  •  Version 1.0</w:t>
      </w:r>
    </w:p>
    <w:p>
      <w:pPr>
        <w:pStyle w:val="Heading2"/>
      </w:pPr>
      <w:r>
        <w:t>Le projet</w:t>
      </w:r>
    </w:p>
    <w:p>
      <w:r>
        <w:rPr>
          <w:b w:val="0"/>
        </w:rPr>
        <w:t>DispoSP est une application web destinée aux sapeurs-pompiers et à leur encadrement. Elle rassemble la déclaration des disponibilités, l’analyse des besoins et la préparation des gardes dans un espace commun, accessible sur ordinateur et téléphone.</w:t>
      </w:r>
    </w:p>
    <w:p>
      <w:r>
        <w:rPr>
          <w:b w:val="0"/>
        </w:rPr>
        <w:t>L’agent indique quand il peut être présent. L’encadrement vérifie les effectifs et les qualifications, choisit les affectations puis publie le planning. Une disponibilité devient ainsi une possibilité de planification ; seule la publication confirme la garde à l’agent.</w:t>
      </w:r>
    </w:p>
    <w:p>
      <w:pPr>
        <w:pStyle w:val="Heading2"/>
      </w:pPr>
      <w:r>
        <w:t>La prochaine étape</w:t>
      </w:r>
    </w:p>
    <w:p>
      <w:r>
        <w:rPr>
          <w:b w:val="0"/>
        </w:rPr>
        <w:t>Le socle fonctionnel est développé. L’audit du 22 septembre 2026 conclut à une application techniquement déployable en préproduction, avec des correctifs encore nécessaires avant une exploitation autonome des gardes réelles. Une expérimentation encadrée permettra ensuite de valider les usages sur le terrain.</w:t>
      </w:r>
    </w:p>
    <w:p>
      <w:pPr>
        <w:pStyle w:val="Heading2"/>
      </w:pPr>
      <w:r>
        <w:t>Dans ce dossier</w:t>
      </w:r>
    </w:p>
    <w:p>
      <w:r>
        <w:rPr>
          <w:b w:val="0"/>
          <w:color w:val="505762"/>
          <w:sz w:val="18"/>
        </w:rPr>
        <w:t>Usages et responsabilités  2</w:t>
        <w:br/>
        <w:t>Parcours agent et horaires  3</w:t>
        <w:br/>
        <w:t>Préparation du planning  4</w:t>
        <w:br/>
        <w:t>Mobile et communication  5</w:t>
        <w:br/>
        <w:t>État du projet  6</w:t>
        <w:br/>
        <w:t>Proposition de mise en service  7</w:t>
      </w:r>
    </w:p>
    <w:p>
      <w:r>
        <w:br w:type="page"/>
      </w:r>
    </w:p>
    <w:p>
      <w:pPr>
        <w:pStyle w:val="Heading1"/>
      </w:pPr>
      <w:r>
        <w:t>Les usages et les responsabilités</w:t>
      </w:r>
    </w:p>
    <w:p>
      <w:r>
        <w:rPr>
          <w:b w:val="0"/>
        </w:rPr>
        <w:t>La préparation d’un mois de garde demande de rapprocher les disponibilités individuelles, les besoins du centre et les compétences requises. DispoSP organise ce travail autour de campagnes, avec une réponse explicite de chaque agent et une publication maîtrisée par l’encadrement.</w:t>
      </w:r>
    </w:p>
    <w:p>
      <w:pPr>
        <w:pStyle w:val="Heading2"/>
      </w:pPr>
      <w:r>
        <w:t>Les résultats recherchés</w:t>
      </w:r>
    </w:p>
    <w:p>
      <w:pPr>
        <w:spacing w:after="100"/>
        <w:ind w:left="170" w:hanging="170"/>
      </w:pPr>
      <w:r>
        <w:rPr>
          <w:b w:val="0"/>
        </w:rPr>
        <w:t>•  Centraliser les réponses pour limiter les ressaisies et les échanges dispersés.</w:t>
      </w:r>
    </w:p>
    <w:p>
      <w:pPr>
        <w:spacing w:after="100"/>
        <w:ind w:left="170" w:hanging="170"/>
      </w:pPr>
      <w:r>
        <w:rPr>
          <w:b w:val="0"/>
        </w:rPr>
        <w:t>•  Repérer les dates ou les qualifications insuffisamment couvertes avant la publication.</w:t>
      </w:r>
    </w:p>
    <w:p>
      <w:pPr>
        <w:spacing w:after="100"/>
        <w:ind w:left="170" w:hanging="170"/>
      </w:pPr>
      <w:r>
        <w:rPr>
          <w:b w:val="0"/>
        </w:rPr>
        <w:t>•  Distinguer les disponibilités déclarées, le planning en préparation et les gardes publiées.</w:t>
      </w:r>
    </w:p>
    <w:p>
      <w:pPr>
        <w:spacing w:after="100"/>
        <w:ind w:left="170" w:hanging="170"/>
      </w:pPr>
      <w:r>
        <w:rPr>
          <w:b w:val="0"/>
        </w:rPr>
        <w:t>•  Retrouver les décisions et les modifications grâce à un historique partagé selon les droits.</w:t>
      </w:r>
    </w:p>
    <w:p>
      <w:r>
        <w:rPr>
          <w:b w:val="0"/>
          <w:color w:val="505762"/>
          <w:sz w:val="18"/>
        </w:rPr>
        <w:t>Ces bénéfices sont des objectifs d’usage. Le temps gagné et la réduction des erreurs devront être mesurés pendant l’expérimentation.</w:t>
      </w:r>
    </w:p>
    <w:p>
      <w:pPr>
        <w:pStyle w:val="Heading2"/>
      </w:pPr>
      <w:r>
        <w:t>Trois rôles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871"/>
        <w:gridCol w:w="7767"/>
      </w:tblGrid>
      <w:tr>
        <w:trPr>
          <w:cantSplit/>
          <w:tblHeader/>
        </w:trPr>
        <w:tc>
          <w:tcPr>
            <w:tcW w:type="dxa" w:w="1871"/>
            <w:vAlign w:val="center"/>
            <w:shd w:fill="12334D"/>
            <w:tcMar>
              <w:top w:w="115" w:type="dxa"/>
              <w:left w:w="115" w:type="dxa"/>
              <w:bottom w:w="115" w:type="dxa"/>
              <w:right w:w="115" w:type="dxa"/>
            </w:tcMar>
          </w:tcPr>
          <w:p>
            <w:pPr>
              <w:spacing w:after="0" w:line="252" w:lineRule="auto"/>
            </w:pPr>
            <w:r>
              <w:rPr>
                <w:b/>
                <w:color w:val="FFFFFF"/>
                <w:sz w:val="20"/>
              </w:rPr>
              <w:t>Rôle</w:t>
            </w:r>
          </w:p>
        </w:tc>
        <w:tc>
          <w:tcPr>
            <w:tcW w:type="dxa" w:w="7767"/>
            <w:vAlign w:val="center"/>
            <w:shd w:fill="12334D"/>
            <w:tcMar>
              <w:top w:w="115" w:type="dxa"/>
              <w:left w:w="115" w:type="dxa"/>
              <w:bottom w:w="115" w:type="dxa"/>
              <w:right w:w="115" w:type="dxa"/>
            </w:tcMar>
          </w:tcPr>
          <w:p>
            <w:pPr>
              <w:spacing w:after="0" w:line="252" w:lineRule="auto"/>
            </w:pPr>
            <w:r>
              <w:rPr>
                <w:b/>
                <w:color w:val="FFFFFF"/>
                <w:sz w:val="20"/>
              </w:rPr>
              <w:t>Responsabilités principales</w:t>
            </w:r>
          </w:p>
        </w:tc>
      </w:tr>
      <w:tr>
        <w:trPr>
          <w:cantSplit/>
        </w:trPr>
        <w:tc>
          <w:tcPr>
            <w:tcW w:type="dxa" w:w="1871"/>
            <w:vAlign w:val="center"/>
            <w:shd w:fill="F2F5F8"/>
            <w:tcMar>
              <w:top w:w="115" w:type="dxa"/>
              <w:left w:w="115" w:type="dxa"/>
              <w:bottom w:w="115" w:type="dxa"/>
              <w:right w:w="115" w:type="dxa"/>
            </w:tcMar>
          </w:tcPr>
          <w:p>
            <w:pPr>
              <w:spacing w:after="0" w:line="252" w:lineRule="auto"/>
            </w:pPr>
            <w:r>
              <w:rPr>
                <w:sz w:val="20"/>
              </w:rPr>
              <w:t>Agent</w:t>
            </w:r>
          </w:p>
        </w:tc>
        <w:tc>
          <w:tcPr>
            <w:tcW w:type="dxa" w:w="7767"/>
            <w:vAlign w:val="center"/>
            <w:shd w:fill="F2F5F8"/>
            <w:tcMar>
              <w:top w:w="115" w:type="dxa"/>
              <w:left w:w="115" w:type="dxa"/>
              <w:bottom w:w="115" w:type="dxa"/>
              <w:right w:w="115" w:type="dxa"/>
            </w:tcMar>
          </w:tcPr>
          <w:p>
            <w:pPr>
              <w:spacing w:after="0" w:line="252" w:lineRule="auto"/>
            </w:pPr>
            <w:r>
              <w:rPr>
                <w:sz w:val="20"/>
              </w:rPr>
              <w:t>Renseigner et valider ses disponibilités, consulter ses gardes publiées et signaler un désistement.</w:t>
            </w:r>
          </w:p>
        </w:tc>
      </w:tr>
      <w:tr>
        <w:trPr>
          <w:cantSplit/>
        </w:trPr>
        <w:tc>
          <w:tcPr>
            <w:tcW w:type="dxa" w:w="1871"/>
            <w:vAlign w:val="center"/>
            <w:shd w:fill="FFFFFF"/>
            <w:tcMar>
              <w:top w:w="115" w:type="dxa"/>
              <w:left w:w="115" w:type="dxa"/>
              <w:bottom w:w="115" w:type="dxa"/>
              <w:right w:w="115" w:type="dxa"/>
            </w:tcMar>
          </w:tcPr>
          <w:p>
            <w:pPr>
              <w:spacing w:after="0" w:line="252" w:lineRule="auto"/>
            </w:pPr>
            <w:r>
              <w:rPr>
                <w:sz w:val="20"/>
              </w:rPr>
              <w:t>Gestionnaire</w:t>
            </w:r>
          </w:p>
        </w:tc>
        <w:tc>
          <w:tcPr>
            <w:tcW w:type="dxa" w:w="7767"/>
            <w:vAlign w:val="center"/>
            <w:shd w:fill="FFFFFF"/>
            <w:tcMar>
              <w:top w:w="115" w:type="dxa"/>
              <w:left w:w="115" w:type="dxa"/>
              <w:bottom w:w="115" w:type="dxa"/>
              <w:right w:w="115" w:type="dxa"/>
            </w:tcMar>
          </w:tcPr>
          <w:p>
            <w:pPr>
              <w:spacing w:after="0" w:line="252" w:lineRule="auto"/>
            </w:pPr>
            <w:r>
              <w:rPr>
                <w:sz w:val="20"/>
              </w:rPr>
              <w:t>Suivre les réponses, définir les besoins, préparer et publier les gardes, gérer les agents et traiter les désistements du centre.</w:t>
            </w:r>
          </w:p>
        </w:tc>
      </w:tr>
      <w:tr>
        <w:trPr>
          <w:cantSplit/>
        </w:trPr>
        <w:tc>
          <w:tcPr>
            <w:tcW w:type="dxa" w:w="1871"/>
            <w:vAlign w:val="center"/>
            <w:shd w:fill="F2F5F8"/>
            <w:tcMar>
              <w:top w:w="115" w:type="dxa"/>
              <w:left w:w="115" w:type="dxa"/>
              <w:bottom w:w="115" w:type="dxa"/>
              <w:right w:w="115" w:type="dxa"/>
            </w:tcMar>
          </w:tcPr>
          <w:p>
            <w:pPr>
              <w:spacing w:after="0" w:line="252" w:lineRule="auto"/>
            </w:pPr>
            <w:r>
              <w:rPr>
                <w:sz w:val="20"/>
              </w:rPr>
              <w:t>Administrateur</w:t>
            </w:r>
          </w:p>
        </w:tc>
        <w:tc>
          <w:tcPr>
            <w:tcW w:type="dxa" w:w="7767"/>
            <w:vAlign w:val="center"/>
            <w:shd w:fill="F2F5F8"/>
            <w:tcMar>
              <w:top w:w="115" w:type="dxa"/>
              <w:left w:w="115" w:type="dxa"/>
              <w:bottom w:w="115" w:type="dxa"/>
              <w:right w:w="115" w:type="dxa"/>
            </w:tcMar>
          </w:tcPr>
          <w:p>
            <w:pPr>
              <w:spacing w:after="0" w:line="252" w:lineRule="auto"/>
            </w:pPr>
            <w:r>
              <w:rPr>
                <w:sz w:val="20"/>
              </w:rPr>
              <w:t>Assurer les responsabilités de gestion et disposer des droits supplémentaires liés à l’administration des rôles.</w:t>
            </w:r>
          </w:p>
        </w:tc>
      </w:tr>
    </w:tbl>
    <w:p>
      <w:pPr>
        <w:spacing w:after="0" w:before="0" w:line="240" w:lineRule="auto"/>
      </w:pPr>
      <w:r>
        <w:rPr>
          <w:sz w:val="6"/>
        </w:rPr>
      </w:r>
    </w:p>
    <w:p>
      <w:r>
        <w:rPr>
          <w:b w:val="0"/>
        </w:rPr>
        <w:t>L’accès se fait par invitation. L’agent choisit lui-même son mot de passe. Un gestionnaire peut inviter un agent ou un autre gestionnaire ; l’attribution du rôle administrateur reste réservée à un administrateur.</w:t>
      </w:r>
    </w:p>
    <w:p>
      <w:pPr>
        <w:pStyle w:val="Heading2"/>
      </w:pPr>
      <w:r>
        <w:t>Un circuit de décision explicite</w:t>
      </w:r>
    </w:p>
    <w:p>
      <w:r>
        <w:rPr>
          <w:b w:val="0"/>
        </w:rPr>
        <w:t>Le gestionnaire ouvre la campagne et définit son périmètre. Les agents concernés répondent et valident leur saisie. L’encadrement examine la couverture, construit le brouillon et publie les créneaux retenus. Les agents consultent alors les affectations publiées dans leur planning personnel.</w:t>
      </w:r>
    </w:p>
    <w:p>
      <w:r>
        <w:rPr>
          <w:b w:val="0"/>
        </w:rPr>
        <w:t>Les modifications ultérieures suivent le même principe : le brouillon sert à préparer une révision, puis une nouvelle publication rend les changements officiels dans l’application.</w:t>
      </w:r>
    </w:p>
    <w:p>
      <w:r>
        <w:br w:type="page"/>
      </w:r>
    </w:p>
    <w:p>
      <w:pPr>
        <w:pStyle w:val="Heading1"/>
      </w:pPr>
      <w:r>
        <w:t>Le parcours de chaque agent</w:t>
      </w:r>
    </w:p>
    <w:p>
      <w:pPr>
        <w:pStyle w:val="Heading2"/>
      </w:pPr>
      <w:r>
        <w:t>Renseigner ses disponibilités</w:t>
      </w:r>
    </w:p>
    <w:p>
      <w:r>
        <w:rPr>
          <w:b w:val="0"/>
        </w:rPr>
        <w:t>Le calendrier distingue cinq états : disponible le jour, disponible la nuit, disponible 24 h, indisponible et non renseigné. La saisie peut porter sur une journée, plusieurs dates ou une période sélectionnée par jours de semaine. Un commentaire peut compléter la réponse.</w:t>
      </w:r>
    </w:p>
    <w:p>
      <w:r>
        <w:rPr>
          <w:b w:val="0"/>
        </w:rPr>
        <w:t>Les habitudes personnelles peuvent être enregistrées et réutilisées dans une campagne. Leur application remplit le calendrier ; l’agent conserve la possibilité de corriger les exceptions avant de valider.</w:t>
      </w:r>
    </w:p>
    <w:p>
      <w:pPr>
        <w:pStyle w:val="Heading2"/>
      </w:pPr>
      <w:r>
        <w:t>Valider une réponse complète</w:t>
      </w:r>
    </w:p>
    <w:p>
      <w:r>
        <w:rPr>
          <w:b w:val="0"/>
        </w:rPr>
        <w:t>La validation est une action explicite portant sur la campagne complète. Une modification des disponibilités invalide la réponse précédente et demande une nouvelle validation. La clôture de la campagne verrouille la saisie selon les règles prévues.</w:t>
      </w:r>
    </w:p>
    <w:p>
      <w:pPr>
        <w:pStyle w:val="Heading2"/>
      </w:pPr>
      <w:r>
        <w:t>Des horaires compréhensibles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74"/>
        <w:gridCol w:w="3458"/>
        <w:gridCol w:w="4706"/>
      </w:tblGrid>
      <w:tr>
        <w:trPr>
          <w:cantSplit/>
          <w:tblHeader/>
        </w:trPr>
        <w:tc>
          <w:tcPr>
            <w:tcW w:type="dxa" w:w="1474"/>
            <w:vAlign w:val="center"/>
            <w:shd w:fill="12334D"/>
            <w:tcMar>
              <w:top w:w="115" w:type="dxa"/>
              <w:left w:w="115" w:type="dxa"/>
              <w:bottom w:w="115" w:type="dxa"/>
              <w:right w:w="115" w:type="dxa"/>
            </w:tcMar>
          </w:tcPr>
          <w:p>
            <w:pPr>
              <w:spacing w:after="0" w:line="252" w:lineRule="auto"/>
            </w:pPr>
            <w:r>
              <w:rPr>
                <w:b/>
                <w:color w:val="FFFFFF"/>
                <w:sz w:val="20"/>
              </w:rPr>
              <w:t>Créneau</w:t>
            </w:r>
          </w:p>
        </w:tc>
        <w:tc>
          <w:tcPr>
            <w:tcW w:type="dxa" w:w="3458"/>
            <w:vAlign w:val="center"/>
            <w:shd w:fill="12334D"/>
            <w:tcMar>
              <w:top w:w="115" w:type="dxa"/>
              <w:left w:w="115" w:type="dxa"/>
              <w:bottom w:w="115" w:type="dxa"/>
              <w:right w:w="115" w:type="dxa"/>
            </w:tcMar>
          </w:tcPr>
          <w:p>
            <w:pPr>
              <w:spacing w:after="0" w:line="252" w:lineRule="auto"/>
            </w:pPr>
            <w:r>
              <w:rPr>
                <w:b/>
                <w:color w:val="FFFFFF"/>
                <w:sz w:val="20"/>
              </w:rPr>
              <w:t>Horaires par défaut</w:t>
            </w:r>
          </w:p>
        </w:tc>
        <w:tc>
          <w:tcPr>
            <w:tcW w:type="dxa" w:w="4706"/>
            <w:vAlign w:val="center"/>
            <w:shd w:fill="12334D"/>
            <w:tcMar>
              <w:top w:w="115" w:type="dxa"/>
              <w:left w:w="115" w:type="dxa"/>
              <w:bottom w:w="115" w:type="dxa"/>
              <w:right w:w="115" w:type="dxa"/>
            </w:tcMar>
          </w:tcPr>
          <w:p>
            <w:pPr>
              <w:spacing w:after="0" w:line="252" w:lineRule="auto"/>
            </w:pPr>
            <w:r>
              <w:rPr>
                <w:b/>
                <w:color w:val="FFFFFF"/>
                <w:sz w:val="20"/>
              </w:rPr>
              <w:t>Date de rattachement</w:t>
            </w:r>
          </w:p>
        </w:tc>
      </w:tr>
      <w:tr>
        <w:trPr>
          <w:cantSplit/>
        </w:trPr>
        <w:tc>
          <w:tcPr>
            <w:tcW w:type="dxa" w:w="1474"/>
            <w:vAlign w:val="center"/>
            <w:shd w:fill="F2F5F8"/>
            <w:tcMar>
              <w:top w:w="115" w:type="dxa"/>
              <w:left w:w="115" w:type="dxa"/>
              <w:bottom w:w="115" w:type="dxa"/>
              <w:right w:w="115" w:type="dxa"/>
            </w:tcMar>
          </w:tcPr>
          <w:p>
            <w:pPr>
              <w:spacing w:after="0" w:line="252" w:lineRule="auto"/>
            </w:pPr>
            <w:r>
              <w:rPr>
                <w:sz w:val="20"/>
              </w:rPr>
              <w:t>Jour</w:t>
            </w:r>
          </w:p>
        </w:tc>
        <w:tc>
          <w:tcPr>
            <w:tcW w:type="dxa" w:w="3458"/>
            <w:vAlign w:val="center"/>
            <w:shd w:fill="F2F5F8"/>
            <w:tcMar>
              <w:top w:w="115" w:type="dxa"/>
              <w:left w:w="115" w:type="dxa"/>
              <w:bottom w:w="115" w:type="dxa"/>
              <w:right w:w="115" w:type="dxa"/>
            </w:tcMar>
          </w:tcPr>
          <w:p>
            <w:pPr>
              <w:spacing w:after="0" w:line="252" w:lineRule="auto"/>
            </w:pPr>
            <w:r>
              <w:rPr>
                <w:sz w:val="20"/>
              </w:rPr>
              <w:t>8 h à 20 h</w:t>
            </w:r>
          </w:p>
        </w:tc>
        <w:tc>
          <w:tcPr>
            <w:tcW w:type="dxa" w:w="4706"/>
            <w:vAlign w:val="center"/>
            <w:shd w:fill="F2F5F8"/>
            <w:tcMar>
              <w:top w:w="115" w:type="dxa"/>
              <w:left w:w="115" w:type="dxa"/>
              <w:bottom w:w="115" w:type="dxa"/>
              <w:right w:w="115" w:type="dxa"/>
            </w:tcMar>
          </w:tcPr>
          <w:p>
            <w:pPr>
              <w:spacing w:after="0" w:line="252" w:lineRule="auto"/>
            </w:pPr>
            <w:r>
              <w:rPr>
                <w:sz w:val="20"/>
              </w:rPr>
              <w:t>Date du jour concerné</w:t>
            </w:r>
          </w:p>
        </w:tc>
      </w:tr>
      <w:tr>
        <w:trPr>
          <w:cantSplit/>
        </w:trPr>
        <w:tc>
          <w:tcPr>
            <w:tcW w:type="dxa" w:w="1474"/>
            <w:vAlign w:val="center"/>
            <w:shd w:fill="FFFFFF"/>
            <w:tcMar>
              <w:top w:w="115" w:type="dxa"/>
              <w:left w:w="115" w:type="dxa"/>
              <w:bottom w:w="115" w:type="dxa"/>
              <w:right w:w="115" w:type="dxa"/>
            </w:tcMar>
          </w:tcPr>
          <w:p>
            <w:pPr>
              <w:spacing w:after="0" w:line="252" w:lineRule="auto"/>
            </w:pPr>
            <w:r>
              <w:rPr>
                <w:sz w:val="20"/>
              </w:rPr>
              <w:t>Nuit</w:t>
            </w:r>
          </w:p>
        </w:tc>
        <w:tc>
          <w:tcPr>
            <w:tcW w:type="dxa" w:w="3458"/>
            <w:vAlign w:val="center"/>
            <w:shd w:fill="FFFFFF"/>
            <w:tcMar>
              <w:top w:w="115" w:type="dxa"/>
              <w:left w:w="115" w:type="dxa"/>
              <w:bottom w:w="115" w:type="dxa"/>
              <w:right w:w="115" w:type="dxa"/>
            </w:tcMar>
          </w:tcPr>
          <w:p>
            <w:pPr>
              <w:spacing w:after="0" w:line="252" w:lineRule="auto"/>
            </w:pPr>
            <w:r>
              <w:rPr>
                <w:sz w:val="20"/>
              </w:rPr>
              <w:t>20 h à 8 h le lendemain</w:t>
            </w:r>
          </w:p>
        </w:tc>
        <w:tc>
          <w:tcPr>
            <w:tcW w:type="dxa" w:w="4706"/>
            <w:vAlign w:val="center"/>
            <w:shd w:fill="FFFFFF"/>
            <w:tcMar>
              <w:top w:w="115" w:type="dxa"/>
              <w:left w:w="115" w:type="dxa"/>
              <w:bottom w:w="115" w:type="dxa"/>
              <w:right w:w="115" w:type="dxa"/>
            </w:tcMar>
          </w:tcPr>
          <w:p>
            <w:pPr>
              <w:spacing w:after="0" w:line="252" w:lineRule="auto"/>
            </w:pPr>
            <w:r>
              <w:rPr>
                <w:sz w:val="20"/>
              </w:rPr>
              <w:t>Date de début de la nuit</w:t>
            </w:r>
          </w:p>
        </w:tc>
      </w:tr>
      <w:tr>
        <w:trPr>
          <w:cantSplit/>
        </w:trPr>
        <w:tc>
          <w:tcPr>
            <w:tcW w:type="dxa" w:w="1474"/>
            <w:vAlign w:val="center"/>
            <w:shd w:fill="F2F5F8"/>
            <w:tcMar>
              <w:top w:w="115" w:type="dxa"/>
              <w:left w:w="115" w:type="dxa"/>
              <w:bottom w:w="115" w:type="dxa"/>
              <w:right w:w="115" w:type="dxa"/>
            </w:tcMar>
          </w:tcPr>
          <w:p>
            <w:pPr>
              <w:spacing w:after="0" w:line="252" w:lineRule="auto"/>
            </w:pPr>
            <w:r>
              <w:rPr>
                <w:sz w:val="20"/>
              </w:rPr>
              <w:t>24 h</w:t>
            </w:r>
          </w:p>
        </w:tc>
        <w:tc>
          <w:tcPr>
            <w:tcW w:type="dxa" w:w="3458"/>
            <w:vAlign w:val="center"/>
            <w:shd w:fill="F2F5F8"/>
            <w:tcMar>
              <w:top w:w="115" w:type="dxa"/>
              <w:left w:w="115" w:type="dxa"/>
              <w:bottom w:w="115" w:type="dxa"/>
              <w:right w:w="115" w:type="dxa"/>
            </w:tcMar>
          </w:tcPr>
          <w:p>
            <w:pPr>
              <w:spacing w:after="0" w:line="252" w:lineRule="auto"/>
            </w:pPr>
            <w:r>
              <w:rPr>
                <w:sz w:val="20"/>
              </w:rPr>
              <w:t>8 h à 8 h le lendemain</w:t>
            </w:r>
          </w:p>
        </w:tc>
        <w:tc>
          <w:tcPr>
            <w:tcW w:type="dxa" w:w="4706"/>
            <w:vAlign w:val="center"/>
            <w:shd w:fill="F2F5F8"/>
            <w:tcMar>
              <w:top w:w="115" w:type="dxa"/>
              <w:left w:w="115" w:type="dxa"/>
              <w:bottom w:w="115" w:type="dxa"/>
              <w:right w:w="115" w:type="dxa"/>
            </w:tcMar>
          </w:tcPr>
          <w:p>
            <w:pPr>
              <w:spacing w:after="0" w:line="252" w:lineRule="auto"/>
            </w:pPr>
            <w:r>
              <w:rPr>
                <w:sz w:val="20"/>
              </w:rPr>
              <w:t>Jour et Nuit de la même date de début</w:t>
            </w:r>
          </w:p>
        </w:tc>
      </w:tr>
    </w:tbl>
    <w:p>
      <w:pPr>
        <w:spacing w:after="0" w:before="0" w:line="240" w:lineRule="auto"/>
      </w:pPr>
      <w:r>
        <w:rPr>
          <w:sz w:val="6"/>
        </w:rPr>
      </w:r>
    </w:p>
    <w:p>
      <w:r>
        <w:rPr>
          <w:b w:val="0"/>
          <w:color w:val="505762"/>
          <w:sz w:val="18"/>
        </w:rPr>
        <w:t>Exemple illustratif : la nuit du 12 octobre commence le 12 à 20 h et se termine le 13 à 8 h. Une disponibilité 24 h saisie le 12 couvre potentiellement le Jour du 12 et la Nuit du 12. Elle ne crée aucune affectation automatique.</w:t>
      </w:r>
    </w:p>
    <w:p>
      <w:r>
        <w:rPr>
          <w:b w:val="0"/>
        </w:rPr>
        <w:t>Les horaires sont configurables pour les nouvelles campagnes. Les campagnes existantes conservent leurs créneaux, afin de préserver les réponses et le planning déjà préparés.</w:t>
      </w:r>
    </w:p>
    <w:p>
      <w:pPr>
        <w:pStyle w:val="Heading2"/>
      </w:pPr>
      <w:r>
        <w:t>Consulter ses gardes et signaler un empêchement</w:t>
      </w:r>
    </w:p>
    <w:p>
      <w:r>
        <w:rPr>
          <w:b w:val="0"/>
        </w:rPr>
        <w:t>Le planning personnel présente les gardes publiées. L’agent peut signaler un désistement sur une garde concernée. Le gestionnaire accepte ou refuse la demande ; une acceptation demande encore de traiter le remplacement dans le planning et de publier la révision.</w:t>
      </w:r>
    </w:p>
    <w:p>
      <w:r>
        <w:br w:type="page"/>
      </w:r>
    </w:p>
    <w:p>
      <w:pPr>
        <w:pStyle w:val="Heading1"/>
      </w:pPr>
      <w:r>
        <w:t>Préparer et publier les gardes</w:t>
      </w:r>
    </w:p>
    <w:p>
      <w:r>
        <w:rPr>
          <w:b w:val="0"/>
        </w:rPr>
        <w:t>Le gestionnaire dispose d’une synthèse mensuelle filtrable par équipe et par validation, d’une recherche par agent et d’une vue par journée. Il définit les besoins d’effectifs et les minima de qualification pour chaque date et chaque créneau.</w:t>
      </w:r>
    </w:p>
    <w:p>
      <w:pPr>
        <w:pStyle w:val="Heading2"/>
      </w:pPr>
      <w:r>
        <w:t>Lire la couverture sans ambiguïté</w:t>
      </w:r>
    </w:p>
    <w:p>
      <w:r>
        <w:rPr>
          <w:b w:val="0"/>
        </w:rPr>
        <w:t>La couverture potentielle décrit les ressources disponibles à partir des réponses validées. La couverture planifiée décrit les agents effectivement affectés dans le brouillon. La version publiée reste une référence distincte, visible par les agents concernés.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685"/>
        <w:gridCol w:w="1134"/>
        <w:gridCol w:w="4819"/>
      </w:tblGrid>
      <w:tr>
        <w:trPr>
          <w:cantSplit/>
          <w:tblHeader/>
        </w:trPr>
        <w:tc>
          <w:tcPr>
            <w:tcW w:type="dxa" w:w="3685"/>
            <w:vAlign w:val="center"/>
            <w:shd w:fill="12334D"/>
            <w:tcMar>
              <w:top w:w="115" w:type="dxa"/>
              <w:left w:w="115" w:type="dxa"/>
              <w:bottom w:w="115" w:type="dxa"/>
              <w:right w:w="115" w:type="dxa"/>
            </w:tcMar>
          </w:tcPr>
          <w:p>
            <w:pPr>
              <w:spacing w:after="0" w:line="252" w:lineRule="auto"/>
            </w:pPr>
            <w:r>
              <w:rPr>
                <w:b/>
                <w:color w:val="FFFFFF"/>
                <w:sz w:val="20"/>
              </w:rPr>
              <w:t>Exemple pour un créneau</w:t>
            </w:r>
          </w:p>
        </w:tc>
        <w:tc>
          <w:tcPr>
            <w:tcW w:type="dxa" w:w="1134"/>
            <w:vAlign w:val="center"/>
            <w:shd w:fill="12334D"/>
            <w:tcMar>
              <w:top w:w="115" w:type="dxa"/>
              <w:left w:w="115" w:type="dxa"/>
              <w:bottom w:w="115" w:type="dxa"/>
              <w:right w:w="115" w:type="dxa"/>
            </w:tcMar>
          </w:tcPr>
          <w:p>
            <w:pPr>
              <w:spacing w:after="0" w:line="252" w:lineRule="auto"/>
            </w:pPr>
            <w:r>
              <w:rPr>
                <w:b/>
                <w:color w:val="FFFFFF"/>
                <w:sz w:val="20"/>
              </w:rPr>
              <w:t>Effectif</w:t>
            </w:r>
          </w:p>
        </w:tc>
        <w:tc>
          <w:tcPr>
            <w:tcW w:type="dxa" w:w="4819"/>
            <w:vAlign w:val="center"/>
            <w:shd w:fill="12334D"/>
            <w:tcMar>
              <w:top w:w="115" w:type="dxa"/>
              <w:left w:w="115" w:type="dxa"/>
              <w:bottom w:w="115" w:type="dxa"/>
              <w:right w:w="115" w:type="dxa"/>
            </w:tcMar>
          </w:tcPr>
          <w:p>
            <w:pPr>
              <w:spacing w:after="0" w:line="252" w:lineRule="auto"/>
            </w:pPr>
            <w:r>
              <w:rPr>
                <w:b/>
                <w:color w:val="FFFFFF"/>
                <w:sz w:val="20"/>
              </w:rPr>
              <w:t>Lecture</w:t>
            </w:r>
          </w:p>
        </w:tc>
      </w:tr>
      <w:tr>
        <w:trPr>
          <w:cantSplit/>
        </w:trPr>
        <w:tc>
          <w:tcPr>
            <w:tcW w:type="dxa" w:w="3685"/>
            <w:vAlign w:val="center"/>
            <w:shd w:fill="F2F5F8"/>
            <w:tcMar>
              <w:top w:w="115" w:type="dxa"/>
              <w:left w:w="115" w:type="dxa"/>
              <w:bottom w:w="115" w:type="dxa"/>
              <w:right w:w="115" w:type="dxa"/>
            </w:tcMar>
          </w:tcPr>
          <w:p>
            <w:pPr>
              <w:spacing w:after="0" w:line="252" w:lineRule="auto"/>
            </w:pPr>
            <w:r>
              <w:rPr>
                <w:sz w:val="20"/>
              </w:rPr>
              <w:t>Besoin défini</w:t>
            </w:r>
          </w:p>
        </w:tc>
        <w:tc>
          <w:tcPr>
            <w:tcW w:type="dxa" w:w="1134"/>
            <w:vAlign w:val="center"/>
            <w:shd w:fill="F2F5F8"/>
            <w:tcMar>
              <w:top w:w="115" w:type="dxa"/>
              <w:left w:w="115" w:type="dxa"/>
              <w:bottom w:w="115" w:type="dxa"/>
              <w:right w:w="115" w:type="dxa"/>
            </w:tcMar>
          </w:tcPr>
          <w:p>
            <w:pPr>
              <w:spacing w:after="0" w:line="252" w:lineRule="auto"/>
            </w:pPr>
            <w:r>
              <w:rPr>
                <w:sz w:val="20"/>
              </w:rPr>
              <w:t>8</w:t>
            </w:r>
          </w:p>
        </w:tc>
        <w:tc>
          <w:tcPr>
            <w:tcW w:type="dxa" w:w="4819"/>
            <w:vAlign w:val="center"/>
            <w:shd w:fill="F2F5F8"/>
            <w:tcMar>
              <w:top w:w="115" w:type="dxa"/>
              <w:left w:w="115" w:type="dxa"/>
              <w:bottom w:w="115" w:type="dxa"/>
              <w:right w:w="115" w:type="dxa"/>
            </w:tcMar>
          </w:tcPr>
          <w:p>
            <w:pPr>
              <w:spacing w:after="0" w:line="252" w:lineRule="auto"/>
            </w:pPr>
            <w:r>
              <w:rPr>
                <w:sz w:val="20"/>
              </w:rPr>
              <w:t>Il faut affecter 8 agents.</w:t>
            </w:r>
          </w:p>
        </w:tc>
      </w:tr>
      <w:tr>
        <w:trPr>
          <w:cantSplit/>
        </w:trPr>
        <w:tc>
          <w:tcPr>
            <w:tcW w:type="dxa" w:w="3685"/>
            <w:vAlign w:val="center"/>
            <w:shd w:fill="FFFFFF"/>
            <w:tcMar>
              <w:top w:w="115" w:type="dxa"/>
              <w:left w:w="115" w:type="dxa"/>
              <w:bottom w:w="115" w:type="dxa"/>
              <w:right w:w="115" w:type="dxa"/>
            </w:tcMar>
          </w:tcPr>
          <w:p>
            <w:pPr>
              <w:spacing w:after="0" w:line="252" w:lineRule="auto"/>
            </w:pPr>
            <w:r>
              <w:rPr>
                <w:sz w:val="20"/>
              </w:rPr>
              <w:t>Disponibilités validées</w:t>
            </w:r>
          </w:p>
        </w:tc>
        <w:tc>
          <w:tcPr>
            <w:tcW w:type="dxa" w:w="1134"/>
            <w:vAlign w:val="center"/>
            <w:shd w:fill="FFFFFF"/>
            <w:tcMar>
              <w:top w:w="115" w:type="dxa"/>
              <w:left w:w="115" w:type="dxa"/>
              <w:bottom w:w="115" w:type="dxa"/>
              <w:right w:w="115" w:type="dxa"/>
            </w:tcMar>
          </w:tcPr>
          <w:p>
            <w:pPr>
              <w:spacing w:after="0" w:line="252" w:lineRule="auto"/>
            </w:pPr>
            <w:r>
              <w:rPr>
                <w:sz w:val="20"/>
              </w:rPr>
              <w:t>8</w:t>
            </w:r>
          </w:p>
        </w:tc>
        <w:tc>
          <w:tcPr>
            <w:tcW w:type="dxa" w:w="4819"/>
            <w:vAlign w:val="center"/>
            <w:shd w:fill="FFFFFF"/>
            <w:tcMar>
              <w:top w:w="115" w:type="dxa"/>
              <w:left w:w="115" w:type="dxa"/>
              <w:bottom w:w="115" w:type="dxa"/>
              <w:right w:w="115" w:type="dxa"/>
            </w:tcMar>
          </w:tcPr>
          <w:p>
            <w:pPr>
              <w:spacing w:after="0" w:line="252" w:lineRule="auto"/>
            </w:pPr>
            <w:r>
              <w:rPr>
                <w:sz w:val="20"/>
              </w:rPr>
              <w:t>La couverture potentielle atteint 8 sur 8.</w:t>
            </w:r>
          </w:p>
        </w:tc>
      </w:tr>
      <w:tr>
        <w:trPr>
          <w:cantSplit/>
        </w:trPr>
        <w:tc>
          <w:tcPr>
            <w:tcW w:type="dxa" w:w="3685"/>
            <w:vAlign w:val="center"/>
            <w:shd w:fill="F2F5F8"/>
            <w:tcMar>
              <w:top w:w="115" w:type="dxa"/>
              <w:left w:w="115" w:type="dxa"/>
              <w:bottom w:w="115" w:type="dxa"/>
              <w:right w:w="115" w:type="dxa"/>
            </w:tcMar>
          </w:tcPr>
          <w:p>
            <w:pPr>
              <w:spacing w:after="0" w:line="252" w:lineRule="auto"/>
            </w:pPr>
            <w:r>
              <w:rPr>
                <w:sz w:val="20"/>
              </w:rPr>
              <w:t>Affectations du brouillon</w:t>
            </w:r>
          </w:p>
        </w:tc>
        <w:tc>
          <w:tcPr>
            <w:tcW w:type="dxa" w:w="1134"/>
            <w:vAlign w:val="center"/>
            <w:shd w:fill="F2F5F8"/>
            <w:tcMar>
              <w:top w:w="115" w:type="dxa"/>
              <w:left w:w="115" w:type="dxa"/>
              <w:bottom w:w="115" w:type="dxa"/>
              <w:right w:w="115" w:type="dxa"/>
            </w:tcMar>
          </w:tcPr>
          <w:p>
            <w:pPr>
              <w:spacing w:after="0" w:line="252" w:lineRule="auto"/>
            </w:pPr>
            <w:r>
              <w:rPr>
                <w:sz w:val="20"/>
              </w:rPr>
              <w:t>6</w:t>
            </w:r>
          </w:p>
        </w:tc>
        <w:tc>
          <w:tcPr>
            <w:tcW w:type="dxa" w:w="4819"/>
            <w:vAlign w:val="center"/>
            <w:shd w:fill="F2F5F8"/>
            <w:tcMar>
              <w:top w:w="115" w:type="dxa"/>
              <w:left w:w="115" w:type="dxa"/>
              <w:bottom w:w="115" w:type="dxa"/>
              <w:right w:w="115" w:type="dxa"/>
            </w:tcMar>
          </w:tcPr>
          <w:p>
            <w:pPr>
              <w:spacing w:after="0" w:line="252" w:lineRule="auto"/>
            </w:pPr>
            <w:r>
              <w:rPr>
                <w:sz w:val="20"/>
              </w:rPr>
              <w:t>La couverture planifiée atteint 6 sur 8. Deux affectations manquent.</w:t>
            </w:r>
          </w:p>
        </w:tc>
      </w:tr>
    </w:tbl>
    <w:p>
      <w:pPr>
        <w:spacing w:after="0" w:before="0" w:line="240" w:lineRule="auto"/>
      </w:pPr>
      <w:r>
        <w:rPr>
          <w:sz w:val="6"/>
        </w:rPr>
      </w:r>
    </w:p>
    <w:p>
      <w:r>
        <w:rPr>
          <w:b w:val="0"/>
          <w:color w:val="505762"/>
          <w:sz w:val="18"/>
        </w:rPr>
        <w:t>Exemple illustratif limité à l’effectif. Les minima de qualification sont contrôlés séparément : huit personnes disponibles ne garantissent pas la présence de toutes les compétences requises.</w:t>
      </w:r>
    </w:p>
    <w:p>
      <w:pPr>
        <w:pStyle w:val="Heading2"/>
      </w:pPr>
      <w:r>
        <w:t>Construire un brouillon</w:t>
      </w:r>
    </w:p>
    <w:p>
      <w:r>
        <w:rPr>
          <w:b w:val="0"/>
        </w:rPr>
        <w:t>L’encadrement affecte ou retire les agents par date et par créneau, parmi les candidats éligibles. Les indicateurs distinguent déficit, limite et couverture suffisante. Un état spécifique signale les besoins qui ne sont pas encore définis.</w:t>
      </w:r>
    </w:p>
    <w:p>
      <w:r>
        <w:rPr>
          <w:b w:val="0"/>
        </w:rPr>
        <w:t>La répartition des gardes Jour, Nuit et 24 h aide à examiner la charge entre agents. Les choix restent entre les mains de l’encadrement ; le périmètre actuel ne comprend pas de génération automatique du planning ni de moteur complet de règles de repos.</w:t>
      </w:r>
    </w:p>
    <w:p>
      <w:pPr>
        <w:pStyle w:val="Heading2"/>
      </w:pPr>
      <w:r>
        <w:t>Publier une version de référence</w:t>
      </w:r>
    </w:p>
    <w:p>
      <w:r>
        <w:rPr>
          <w:b w:val="0"/>
        </w:rPr>
        <w:t>La publication s’effectue par créneau, avec des contrôles d’éligibilité et de couverture. Elle crée une version indépendante du brouillon. Le gestionnaire peut donc préparer une modification sans changer immédiatement la garde affichée à l’agent.</w:t>
      </w:r>
    </w:p>
    <w:p>
      <w:r>
        <w:rPr>
          <w:b w:val="0"/>
        </w:rPr>
        <w:t>Avant une utilisation réelle, les scénarios de retrait d’agent, de désactivation et d’export d’une version publiée doivent être consolidés conformément à l’audit. Ces points concernent directement la cohérence de l’information transmise.</w:t>
      </w:r>
    </w:p>
    <w:p>
      <w:r>
        <w:br w:type="page"/>
      </w:r>
    </w:p>
    <w:p>
      <w:pPr>
        <w:pStyle w:val="Heading1"/>
      </w:pPr>
      <w:r>
        <w:t>Consulter et communiquer au quotidien</w:t>
      </w:r>
    </w:p>
    <w:p>
      <w:pPr>
        <w:pStyle w:val="Heading2"/>
      </w:pPr>
      <w:r>
        <w:t>Une application sur ordinateur et téléphone</w:t>
      </w:r>
    </w:p>
    <w:p>
      <w:r>
        <w:rPr>
          <w:b w:val="0"/>
        </w:rPr>
        <w:t>DispoSP s’utilise depuis un navigateur. Son interface adapte la navigation, les tableaux et les formulaires aux petits écrans. L’application peut aussi être ajoutée à l’écran d’accueil pour un accès direct, selon les possibilités du téléphone.</w:t>
      </w:r>
    </w:p>
    <w:p>
      <w:r>
        <w:rPr>
          <w:b w:val="0"/>
        </w:rPr>
        <w:t>Les informations métier nécessitent une connexion. La page hors ligne informe l’utilisateur de l’indisponibilité du réseau ; elle ne permet pas de consulter ou de modifier un planning complet hors connexion.</w:t>
      </w:r>
    </w:p>
    <w:p>
      <w:pPr>
        <w:pStyle w:val="Heading2"/>
      </w:pPr>
      <w:r>
        <w:t>Trois canaux de notification</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814"/>
        <w:gridCol w:w="4025"/>
        <w:gridCol w:w="3798"/>
      </w:tblGrid>
      <w:tr>
        <w:trPr>
          <w:cantSplit/>
          <w:tblHeader/>
        </w:trPr>
        <w:tc>
          <w:tcPr>
            <w:tcW w:type="dxa" w:w="1814"/>
            <w:vAlign w:val="center"/>
            <w:shd w:fill="12334D"/>
            <w:tcMar>
              <w:top w:w="115" w:type="dxa"/>
              <w:left w:w="115" w:type="dxa"/>
              <w:bottom w:w="115" w:type="dxa"/>
              <w:right w:w="115" w:type="dxa"/>
            </w:tcMar>
          </w:tcPr>
          <w:p>
            <w:pPr>
              <w:spacing w:after="0" w:line="252" w:lineRule="auto"/>
            </w:pPr>
            <w:r>
              <w:rPr>
                <w:b/>
                <w:color w:val="FFFFFF"/>
                <w:sz w:val="20"/>
              </w:rPr>
              <w:t>Canal</w:t>
            </w:r>
          </w:p>
        </w:tc>
        <w:tc>
          <w:tcPr>
            <w:tcW w:type="dxa" w:w="4025"/>
            <w:vAlign w:val="center"/>
            <w:shd w:fill="12334D"/>
            <w:tcMar>
              <w:top w:w="115" w:type="dxa"/>
              <w:left w:w="115" w:type="dxa"/>
              <w:bottom w:w="115" w:type="dxa"/>
              <w:right w:w="115" w:type="dxa"/>
            </w:tcMar>
          </w:tcPr>
          <w:p>
            <w:pPr>
              <w:spacing w:after="0" w:line="252" w:lineRule="auto"/>
            </w:pPr>
            <w:r>
              <w:rPr>
                <w:b/>
                <w:color w:val="FFFFFF"/>
                <w:sz w:val="20"/>
              </w:rPr>
              <w:t>Usage</w:t>
            </w:r>
          </w:p>
        </w:tc>
        <w:tc>
          <w:tcPr>
            <w:tcW w:type="dxa" w:w="3798"/>
            <w:vAlign w:val="center"/>
            <w:shd w:fill="12334D"/>
            <w:tcMar>
              <w:top w:w="115" w:type="dxa"/>
              <w:left w:w="115" w:type="dxa"/>
              <w:bottom w:w="115" w:type="dxa"/>
              <w:right w:w="115" w:type="dxa"/>
            </w:tcMar>
          </w:tcPr>
          <w:p>
            <w:pPr>
              <w:spacing w:after="0" w:line="252" w:lineRule="auto"/>
            </w:pPr>
            <w:r>
              <w:rPr>
                <w:b/>
                <w:color w:val="FFFFFF"/>
                <w:sz w:val="20"/>
              </w:rPr>
              <w:t>Condition</w:t>
            </w:r>
          </w:p>
        </w:tc>
      </w:tr>
      <w:tr>
        <w:trPr>
          <w:cantSplit/>
        </w:trPr>
        <w:tc>
          <w:tcPr>
            <w:tcW w:type="dxa" w:w="1814"/>
            <w:vAlign w:val="center"/>
            <w:shd w:fill="F2F5F8"/>
            <w:tcMar>
              <w:top w:w="115" w:type="dxa"/>
              <w:left w:w="115" w:type="dxa"/>
              <w:bottom w:w="115" w:type="dxa"/>
              <w:right w:w="115" w:type="dxa"/>
            </w:tcMar>
          </w:tcPr>
          <w:p>
            <w:pPr>
              <w:spacing w:after="0" w:line="252" w:lineRule="auto"/>
            </w:pPr>
            <w:r>
              <w:rPr>
                <w:sz w:val="20"/>
              </w:rPr>
              <w:t>Dans l’application</w:t>
            </w:r>
          </w:p>
        </w:tc>
        <w:tc>
          <w:tcPr>
            <w:tcW w:type="dxa" w:w="4025"/>
            <w:vAlign w:val="center"/>
            <w:shd w:fill="F2F5F8"/>
            <w:tcMar>
              <w:top w:w="115" w:type="dxa"/>
              <w:left w:w="115" w:type="dxa"/>
              <w:bottom w:w="115" w:type="dxa"/>
              <w:right w:w="115" w:type="dxa"/>
            </w:tcMar>
          </w:tcPr>
          <w:p>
            <w:pPr>
              <w:spacing w:after="0" w:line="252" w:lineRule="auto"/>
            </w:pPr>
            <w:r>
              <w:rPr>
                <w:sz w:val="20"/>
              </w:rPr>
              <w:t>Consulter les événements et leur état de lecture.</w:t>
            </w:r>
          </w:p>
        </w:tc>
        <w:tc>
          <w:tcPr>
            <w:tcW w:type="dxa" w:w="3798"/>
            <w:vAlign w:val="center"/>
            <w:shd w:fill="F2F5F8"/>
            <w:tcMar>
              <w:top w:w="115" w:type="dxa"/>
              <w:left w:w="115" w:type="dxa"/>
              <w:bottom w:w="115" w:type="dxa"/>
              <w:right w:w="115" w:type="dxa"/>
            </w:tcMar>
          </w:tcPr>
          <w:p>
            <w:pPr>
              <w:spacing w:after="0" w:line="252" w:lineRule="auto"/>
            </w:pPr>
            <w:r>
              <w:rPr>
                <w:sz w:val="20"/>
              </w:rPr>
              <w:t>Ouvrir son espace authentifié.</w:t>
            </w:r>
          </w:p>
        </w:tc>
      </w:tr>
      <w:tr>
        <w:trPr>
          <w:cantSplit/>
        </w:trPr>
        <w:tc>
          <w:tcPr>
            <w:tcW w:type="dxa" w:w="1814"/>
            <w:vAlign w:val="center"/>
            <w:shd w:fill="FFFFFF"/>
            <w:tcMar>
              <w:top w:w="115" w:type="dxa"/>
              <w:left w:w="115" w:type="dxa"/>
              <w:bottom w:w="115" w:type="dxa"/>
              <w:right w:w="115" w:type="dxa"/>
            </w:tcMar>
          </w:tcPr>
          <w:p>
            <w:pPr>
              <w:spacing w:after="0" w:line="252" w:lineRule="auto"/>
            </w:pPr>
            <w:r>
              <w:rPr>
                <w:sz w:val="20"/>
              </w:rPr>
              <w:t>Par email</w:t>
            </w:r>
          </w:p>
        </w:tc>
        <w:tc>
          <w:tcPr>
            <w:tcW w:type="dxa" w:w="4025"/>
            <w:vAlign w:val="center"/>
            <w:shd w:fill="FFFFFF"/>
            <w:tcMar>
              <w:top w:w="115" w:type="dxa"/>
              <w:left w:w="115" w:type="dxa"/>
              <w:bottom w:w="115" w:type="dxa"/>
              <w:right w:w="115" w:type="dxa"/>
            </w:tcMar>
          </w:tcPr>
          <w:p>
            <w:pPr>
              <w:spacing w:after="0" w:line="252" w:lineRule="auto"/>
            </w:pPr>
            <w:r>
              <w:rPr>
                <w:sz w:val="20"/>
              </w:rPr>
              <w:t>Recevoir les messages prévus par les événements métier.</w:t>
            </w:r>
          </w:p>
        </w:tc>
        <w:tc>
          <w:tcPr>
            <w:tcW w:type="dxa" w:w="3798"/>
            <w:vAlign w:val="center"/>
            <w:shd w:fill="FFFFFF"/>
            <w:tcMar>
              <w:top w:w="115" w:type="dxa"/>
              <w:left w:w="115" w:type="dxa"/>
              <w:bottom w:w="115" w:type="dxa"/>
              <w:right w:w="115" w:type="dxa"/>
            </w:tcMar>
          </w:tcPr>
          <w:p>
            <w:pPr>
              <w:spacing w:after="0" w:line="252" w:lineRule="auto"/>
            </w:pPr>
            <w:r>
              <w:rPr>
                <w:sz w:val="20"/>
              </w:rPr>
              <w:t>Configurer le service d’envoi et une adresse valide.</w:t>
            </w:r>
          </w:p>
        </w:tc>
      </w:tr>
      <w:tr>
        <w:trPr>
          <w:cantSplit/>
        </w:trPr>
        <w:tc>
          <w:tcPr>
            <w:tcW w:type="dxa" w:w="1814"/>
            <w:vAlign w:val="center"/>
            <w:shd w:fill="F2F5F8"/>
            <w:tcMar>
              <w:top w:w="115" w:type="dxa"/>
              <w:left w:w="115" w:type="dxa"/>
              <w:bottom w:w="115" w:type="dxa"/>
              <w:right w:w="115" w:type="dxa"/>
            </w:tcMar>
          </w:tcPr>
          <w:p>
            <w:pPr>
              <w:spacing w:after="0" w:line="252" w:lineRule="auto"/>
            </w:pPr>
            <w:r>
              <w:rPr>
                <w:sz w:val="20"/>
              </w:rPr>
              <w:t>Sur le téléphone</w:t>
            </w:r>
          </w:p>
        </w:tc>
        <w:tc>
          <w:tcPr>
            <w:tcW w:type="dxa" w:w="4025"/>
            <w:vAlign w:val="center"/>
            <w:shd w:fill="F2F5F8"/>
            <w:tcMar>
              <w:top w:w="115" w:type="dxa"/>
              <w:left w:w="115" w:type="dxa"/>
              <w:bottom w:w="115" w:type="dxa"/>
              <w:right w:w="115" w:type="dxa"/>
            </w:tcMar>
          </w:tcPr>
          <w:p>
            <w:pPr>
              <w:spacing w:after="0" w:line="252" w:lineRule="auto"/>
            </w:pPr>
            <w:r>
              <w:rPr>
                <w:sz w:val="20"/>
              </w:rPr>
              <w:t>Recevoir une notification Web Push, y compris application fermée.</w:t>
            </w:r>
          </w:p>
        </w:tc>
        <w:tc>
          <w:tcPr>
            <w:tcW w:type="dxa" w:w="3798"/>
            <w:vAlign w:val="center"/>
            <w:shd w:fill="F2F5F8"/>
            <w:tcMar>
              <w:top w:w="115" w:type="dxa"/>
              <w:left w:w="115" w:type="dxa"/>
              <w:bottom w:w="115" w:type="dxa"/>
              <w:right w:w="115" w:type="dxa"/>
            </w:tcMar>
          </w:tcPr>
          <w:p>
            <w:pPr>
              <w:spacing w:after="0" w:line="252" w:lineRule="auto"/>
            </w:pPr>
            <w:r>
              <w:rPr>
                <w:sz w:val="20"/>
              </w:rPr>
              <w:t>Activer les notifications sur un appareil et un navigateur compatibles.</w:t>
            </w:r>
          </w:p>
        </w:tc>
      </w:tr>
    </w:tbl>
    <w:p>
      <w:pPr>
        <w:spacing w:after="0" w:before="0" w:line="240" w:lineRule="auto"/>
      </w:pPr>
      <w:r>
        <w:rPr>
          <w:sz w:val="6"/>
        </w:rPr>
      </w:r>
    </w:p>
    <w:p>
      <w:r>
        <w:rPr>
          <w:b w:val="0"/>
        </w:rPr>
        <w:t>L’autorisation Web Push est propre à l’appareil. Sur iPhone, le parcours prévu passe par l’ajout à l’écran d’accueil. La réception dépend également des réglages du téléphone, du navigateur et du réseau.</w:t>
      </w:r>
    </w:p>
    <w:p>
      <w:r>
        <w:rPr>
          <w:b w:val="0"/>
        </w:rPr>
        <w:t>Le code des notifications est présent, mais plusieurs scénarios d’envoi et de reprise doivent encore être fiabilisés. La réception réelle sur Android et iPhone devra être vérifiée avant d’en faire un canal habituel de suivi. Ces notifications accompagnent la planification des gardes ; elles ne constituent pas un système d’alerte opérationnelle.</w:t>
      </w:r>
    </w:p>
    <w:p>
      <w:pPr>
        <w:pStyle w:val="Heading2"/>
      </w:pPr>
      <w:r>
        <w:t>Partager et retrouver les informations</w:t>
      </w:r>
    </w:p>
    <w:p>
      <w:r>
        <w:rPr>
          <w:b w:val="0"/>
        </w:rPr>
        <w:t>Des exports CSV, Excel et calendrier ICS ainsi que des vues imprimables facilitent l’utilisation des données en dehors de l’application. Le centre dispose aussi de statistiques par mois, par jour de semaine et par agent, et d’un historique filtrable des actions.</w:t>
      </w:r>
    </w:p>
    <w:p>
      <w:r>
        <w:rPr>
          <w:b w:val="0"/>
        </w:rPr>
        <w:t>L’export Excel doit encore être corrigé pour restituer sans omission une garde publiée lorsque le brouillon a changé. La recette de mise en service devra comparer les exports avec la version de planning réellement publiée.</w:t>
      </w:r>
    </w:p>
    <w:p>
      <w:r>
        <w:br w:type="page"/>
      </w:r>
    </w:p>
    <w:p>
      <w:pPr>
        <w:pStyle w:val="Heading1"/>
      </w:pPr>
      <w:r>
        <w:t>Un socle développé à consolider</w:t>
      </w:r>
    </w:p>
    <w:p>
      <w:r>
        <w:rPr>
          <w:b w:val="0"/>
        </w:rPr>
        <w:t>L’audit du 22 septembre 2026 confirme un socle fonctionnel exploitable en préproduction. Il ne recommande pas encore une exploitation autonome des gardes réelles. La prochaine étape porte sur la fiabilité des révisions, des données partagées et des notifications.</w:t>
      </w:r>
    </w:p>
    <w:p>
      <w:pPr>
        <w:pStyle w:val="Heading2"/>
      </w:pPr>
      <w:r>
        <w:t>Les vérifications déjà réalisées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835"/>
        <w:gridCol w:w="6803"/>
      </w:tblGrid>
      <w:tr>
        <w:trPr>
          <w:cantSplit/>
          <w:tblHeader/>
        </w:trPr>
        <w:tc>
          <w:tcPr>
            <w:tcW w:type="dxa" w:w="2835"/>
            <w:vAlign w:val="center"/>
            <w:shd w:fill="12334D"/>
            <w:tcMar>
              <w:top w:w="115" w:type="dxa"/>
              <w:left w:w="115" w:type="dxa"/>
              <w:bottom w:w="115" w:type="dxa"/>
              <w:right w:w="115" w:type="dxa"/>
            </w:tcMar>
          </w:tcPr>
          <w:p>
            <w:pPr>
              <w:spacing w:after="0" w:line="252" w:lineRule="auto"/>
            </w:pPr>
            <w:r>
              <w:rPr>
                <w:b/>
                <w:color w:val="FFFFFF"/>
                <w:sz w:val="20"/>
              </w:rPr>
              <w:t>Contrôle</w:t>
            </w:r>
          </w:p>
        </w:tc>
        <w:tc>
          <w:tcPr>
            <w:tcW w:type="dxa" w:w="6803"/>
            <w:vAlign w:val="center"/>
            <w:shd w:fill="12334D"/>
            <w:tcMar>
              <w:top w:w="115" w:type="dxa"/>
              <w:left w:w="115" w:type="dxa"/>
              <w:bottom w:w="115" w:type="dxa"/>
              <w:right w:w="115" w:type="dxa"/>
            </w:tcMar>
          </w:tcPr>
          <w:p>
            <w:pPr>
              <w:spacing w:after="0" w:line="252" w:lineRule="auto"/>
            </w:pPr>
            <w:r>
              <w:rPr>
                <w:b/>
                <w:color w:val="FFFFFF"/>
                <w:sz w:val="20"/>
              </w:rPr>
              <w:t>Résultat et portée</w:t>
            </w:r>
          </w:p>
        </w:tc>
      </w:tr>
      <w:tr>
        <w:trPr>
          <w:cantSplit/>
        </w:trPr>
        <w:tc>
          <w:tcPr>
            <w:tcW w:type="dxa" w:w="2835"/>
            <w:vAlign w:val="center"/>
            <w:shd w:fill="F2F5F8"/>
            <w:tcMar>
              <w:top w:w="115" w:type="dxa"/>
              <w:left w:w="115" w:type="dxa"/>
              <w:bottom w:w="115" w:type="dxa"/>
              <w:right w:w="115" w:type="dxa"/>
            </w:tcMar>
          </w:tcPr>
          <w:p>
            <w:pPr>
              <w:spacing w:after="0" w:line="252" w:lineRule="auto"/>
            </w:pPr>
            <w:r>
              <w:rPr>
                <w:sz w:val="20"/>
              </w:rPr>
              <w:t>Tests du projet</w:t>
            </w:r>
          </w:p>
        </w:tc>
        <w:tc>
          <w:tcPr>
            <w:tcW w:type="dxa" w:w="6803"/>
            <w:vAlign w:val="center"/>
            <w:shd w:fill="F2F5F8"/>
            <w:tcMar>
              <w:top w:w="115" w:type="dxa"/>
              <w:left w:w="115" w:type="dxa"/>
              <w:bottom w:w="115" w:type="dxa"/>
              <w:right w:w="115" w:type="dxa"/>
            </w:tcMar>
          </w:tcPr>
          <w:p>
            <w:pPr>
              <w:spacing w:after="0" w:line="252" w:lineRule="auto"/>
            </w:pPr>
            <w:r>
              <w:rPr>
                <w:sz w:val="20"/>
              </w:rPr>
              <w:t>261 tests réussis dans 14 fichiers.</w:t>
            </w:r>
          </w:p>
        </w:tc>
      </w:tr>
      <w:tr>
        <w:trPr>
          <w:cantSplit/>
        </w:trPr>
        <w:tc>
          <w:tcPr>
            <w:tcW w:type="dxa" w:w="2835"/>
            <w:vAlign w:val="center"/>
            <w:shd w:fill="FFFFFF"/>
            <w:tcMar>
              <w:top w:w="115" w:type="dxa"/>
              <w:left w:w="115" w:type="dxa"/>
              <w:bottom w:w="115" w:type="dxa"/>
              <w:right w:w="115" w:type="dxa"/>
            </w:tcMar>
          </w:tcPr>
          <w:p>
            <w:pPr>
              <w:spacing w:after="0" w:line="252" w:lineRule="auto"/>
            </w:pPr>
            <w:r>
              <w:rPr>
                <w:sz w:val="20"/>
              </w:rPr>
              <w:t>Qualité et compilation</w:t>
            </w:r>
          </w:p>
        </w:tc>
        <w:tc>
          <w:tcPr>
            <w:tcW w:type="dxa" w:w="6803"/>
            <w:vAlign w:val="center"/>
            <w:shd w:fill="FFFFFF"/>
            <w:tcMar>
              <w:top w:w="115" w:type="dxa"/>
              <w:left w:w="115" w:type="dxa"/>
              <w:bottom w:w="115" w:type="dxa"/>
              <w:right w:w="115" w:type="dxa"/>
            </w:tcMar>
          </w:tcPr>
          <w:p>
            <w:pPr>
              <w:spacing w:after="0" w:line="252" w:lineRule="auto"/>
            </w:pPr>
            <w:r>
              <w:rPr>
                <w:sz w:val="20"/>
              </w:rPr>
              <w:t>Vérification des types, formatage et compilation réussis. Aucune erreur de lint ; un avertissement.</w:t>
            </w:r>
          </w:p>
        </w:tc>
      </w:tr>
      <w:tr>
        <w:trPr>
          <w:cantSplit/>
        </w:trPr>
        <w:tc>
          <w:tcPr>
            <w:tcW w:type="dxa" w:w="2835"/>
            <w:vAlign w:val="center"/>
            <w:shd w:fill="F2F5F8"/>
            <w:tcMar>
              <w:top w:w="115" w:type="dxa"/>
              <w:left w:w="115" w:type="dxa"/>
              <w:bottom w:w="115" w:type="dxa"/>
              <w:right w:w="115" w:type="dxa"/>
            </w:tcMar>
          </w:tcPr>
          <w:p>
            <w:pPr>
              <w:spacing w:after="0" w:line="252" w:lineRule="auto"/>
            </w:pPr>
            <w:r>
              <w:rPr>
                <w:sz w:val="20"/>
              </w:rPr>
              <w:t>Parcours connectés</w:t>
            </w:r>
          </w:p>
        </w:tc>
        <w:tc>
          <w:tcPr>
            <w:tcW w:type="dxa" w:w="6803"/>
            <w:vAlign w:val="center"/>
            <w:shd w:fill="F2F5F8"/>
            <w:tcMar>
              <w:top w:w="115" w:type="dxa"/>
              <w:left w:w="115" w:type="dxa"/>
              <w:bottom w:w="115" w:type="dxa"/>
              <w:right w:w="115" w:type="dxa"/>
            </w:tcMar>
          </w:tcPr>
          <w:p>
            <w:pPr>
              <w:spacing w:after="0" w:line="252" w:lineRule="auto"/>
            </w:pPr>
            <w:r>
              <w:rPr>
                <w:sz w:val="20"/>
              </w:rPr>
              <w:t>Navigation sur 15 routes, ouverture des formulaires et contrôles en lecture seule.</w:t>
            </w:r>
          </w:p>
        </w:tc>
      </w:tr>
      <w:tr>
        <w:trPr>
          <w:cantSplit/>
        </w:trPr>
        <w:tc>
          <w:tcPr>
            <w:tcW w:type="dxa" w:w="2835"/>
            <w:vAlign w:val="center"/>
            <w:shd w:fill="FFFFFF"/>
            <w:tcMar>
              <w:top w:w="115" w:type="dxa"/>
              <w:left w:w="115" w:type="dxa"/>
              <w:bottom w:w="115" w:type="dxa"/>
              <w:right w:w="115" w:type="dxa"/>
            </w:tcMar>
          </w:tcPr>
          <w:p>
            <w:pPr>
              <w:spacing w:after="0" w:line="252" w:lineRule="auto"/>
            </w:pPr>
            <w:r>
              <w:rPr>
                <w:sz w:val="20"/>
              </w:rPr>
              <w:t>Adaptation des écrans</w:t>
            </w:r>
          </w:p>
        </w:tc>
        <w:tc>
          <w:tcPr>
            <w:tcW w:type="dxa" w:w="6803"/>
            <w:vAlign w:val="center"/>
            <w:shd w:fill="FFFFFF"/>
            <w:tcMar>
              <w:top w:w="115" w:type="dxa"/>
              <w:left w:w="115" w:type="dxa"/>
              <w:bottom w:w="115" w:type="dxa"/>
              <w:right w:w="115" w:type="dxa"/>
            </w:tcMar>
          </w:tcPr>
          <w:p>
            <w:pPr>
              <w:spacing w:after="0" w:line="252" w:lineRule="auto"/>
            </w:pPr>
            <w:r>
              <w:rPr>
                <w:sz w:val="20"/>
              </w:rPr>
              <w:t>Pas de débordement horizontal détecté à 320, 768 et 1 440 pixels sur les écrans accessibles au compte d’essai.</w:t>
            </w:r>
          </w:p>
        </w:tc>
      </w:tr>
    </w:tbl>
    <w:p>
      <w:pPr>
        <w:spacing w:after="0" w:before="0" w:line="240" w:lineRule="auto"/>
      </w:pPr>
      <w:r>
        <w:rPr>
          <w:sz w:val="6"/>
        </w:rPr>
      </w:r>
    </w:p>
    <w:p>
      <w:r>
        <w:rPr>
          <w:b w:val="0"/>
          <w:color w:val="505762"/>
          <w:sz w:val="18"/>
        </w:rPr>
        <w:t>Ces contrôles ne remplacent pas une recette complète avec plusieurs rôles, des écritures métier et de vrais téléphones. L’envoi réel des emails et des notifications n’a pas été testé pendant cet audit.</w:t>
      </w:r>
    </w:p>
    <w:p>
      <w:pPr>
        <w:pStyle w:val="Heading2"/>
      </w:pPr>
      <w:r>
        <w:t>Les correctifs prioritaires</w:t>
      </w:r>
    </w:p>
    <w:p>
      <w:pPr>
        <w:spacing w:after="100"/>
        <w:ind w:left="170" w:hanging="170"/>
      </w:pPr>
      <w:r>
        <w:rPr>
          <w:b w:val="0"/>
        </w:rPr>
        <w:t>•  Planning et exports : permettre le retrait d’un agent désactivé déjà affecté, prévenir les agents retirés lors d’une republication et conserver la version publiée dans les exports.</w:t>
      </w:r>
    </w:p>
    <w:p>
      <w:pPr>
        <w:spacing w:after="100"/>
        <w:ind w:left="170" w:hanging="170"/>
      </w:pPr>
      <w:r>
        <w:rPr>
          <w:b w:val="0"/>
        </w:rPr>
        <w:t>•  Information partagée : actualiser les données après une action d’un autre utilisateur et resserrer les droits de l’ancien centre lors du transfert d’un agent.</w:t>
      </w:r>
    </w:p>
    <w:p>
      <w:pPr>
        <w:spacing w:after="100"/>
        <w:ind w:left="170" w:hanging="170"/>
      </w:pPr>
      <w:r>
        <w:rPr>
          <w:b w:val="0"/>
        </w:rPr>
        <w:t>•  Notifications : conserver les envois en attente lors du réabonnement, fiabiliser les reprises et les destinataires, et traiter les appareils utilisés par plusieurs comptes.</w:t>
      </w:r>
    </w:p>
    <w:p>
      <w:pPr>
        <w:pStyle w:val="Heading2"/>
      </w:pPr>
      <w:r>
        <w:t>Les accès et les données</w:t>
      </w:r>
    </w:p>
    <w:p>
      <w:r>
        <w:rPr>
          <w:b w:val="0"/>
        </w:rPr>
        <w:t>L’application repose sur Next.js et React, avec Supabase pour les comptes et les données. Les droits sont organisés par rôle et par centre, avec des contrôles en base. Cette architecture apporte un socle de protection ; elle ne constitue pas, à elle seule, une attestation de conformité ou de sécurité.</w:t>
      </w:r>
    </w:p>
    <w:p>
      <w:r>
        <w:rPr>
          <w:b w:val="0"/>
        </w:rPr>
        <w:t>Avant l’ouverture réelle, l’exploitant devra confirmer la configuration de production, les sauvegardes et leur restauration, la conservation des données et le circuit de support. L’authentification SAML est prévue dans le code mais demande une configuration et une validation auprès du fournisseur retenu.</w:t>
      </w:r>
    </w:p>
    <w:p>
      <w:r>
        <w:br w:type="page"/>
      </w:r>
    </w:p>
    <w:p>
      <w:pPr>
        <w:pStyle w:val="Heading1"/>
      </w:pPr>
      <w:r>
        <w:t>Proposition de mise en service</w:t>
      </w:r>
    </w:p>
    <w:p>
      <w:r>
        <w:rPr>
          <w:b w:val="0"/>
        </w:rPr>
        <w:t>Une expérimentation sur un centre volontaire est proposée après correction des anomalies prioritaires. Elle doit permettre de confronter les parcours aux habitudes du centre et de vérifier la fiabilité des données avant toute généralisation.</w:t>
      </w:r>
    </w:p>
    <w:p>
      <w:pPr>
        <w:pStyle w:val="Heading2"/>
      </w:pPr>
      <w:r>
        <w:t>Préparer une campagne pilote</w:t>
      </w:r>
    </w:p>
    <w:p>
      <w:r>
        <w:rPr>
          <w:b w:val="0"/>
        </w:rPr>
        <w:t>Désigner un responsable métier et un référent technique, choisir les agents et la période concernés, puis confirmer les horaires, les besoins et les qualifications. Définir dès le départ quel planning fait foi pendant l’essai et comment poursuivre le travail en cas d’indisponibilité de l’application.</w:t>
      </w:r>
    </w:p>
    <w:p>
      <w:pPr>
        <w:pStyle w:val="Heading2"/>
      </w:pPr>
      <w:r>
        <w:t>Valider les scénarios de bout en bout</w:t>
      </w:r>
    </w:p>
    <w:p>
      <w:pPr>
        <w:spacing w:after="100"/>
        <w:ind w:left="170" w:hanging="170"/>
      </w:pPr>
      <w:r>
        <w:rPr>
          <w:b w:val="0"/>
        </w:rPr>
        <w:t>•  Inviter un agent, activer son compte, saisir puis valider ses disponibilités et vérifier leur prise en compte par le gestionnaire.</w:t>
      </w:r>
    </w:p>
    <w:p>
      <w:pPr>
        <w:spacing w:after="100"/>
        <w:ind w:left="170" w:hanging="170"/>
      </w:pPr>
      <w:r>
        <w:rPr>
          <w:b w:val="0"/>
        </w:rPr>
        <w:t>•  Préparer et publier une garde, puis vérifier son affichage dans une seconde session et sur un téléphone.</w:t>
      </w:r>
    </w:p>
    <w:p>
      <w:pPr>
        <w:spacing w:after="100"/>
        <w:ind w:left="170" w:hanging="170"/>
      </w:pPr>
      <w:r>
        <w:rPr>
          <w:b w:val="0"/>
        </w:rPr>
        <w:t>•  Modifier une garde publiée, retirer un agent, traiter un désistement et vérifier les notifications de chaque personne concernée.</w:t>
      </w:r>
    </w:p>
    <w:p>
      <w:pPr>
        <w:spacing w:after="100"/>
        <w:ind w:left="170" w:hanging="170"/>
      </w:pPr>
      <w:r>
        <w:rPr>
          <w:b w:val="0"/>
        </w:rPr>
        <w:t>•  Désactiver un agent affecté, le remplacer et comparer les exports avec le planning publié.</w:t>
      </w:r>
    </w:p>
    <w:p>
      <w:pPr>
        <w:spacing w:after="100"/>
        <w:ind w:left="170" w:hanging="170"/>
      </w:pPr>
      <w:r>
        <w:rPr>
          <w:b w:val="0"/>
        </w:rPr>
        <w:t>•  Tester la réception sur Android et iPhone, un échec d’envoi suivi d’une reprise et un changement de compte sur un appareil partagé.</w:t>
      </w:r>
    </w:p>
    <w:p>
      <w:pPr>
        <w:pStyle w:val="Heading2"/>
      </w:pPr>
      <w:r>
        <w:t>Décider à partir de résultats mesurés</w:t>
      </w:r>
    </w:p>
    <w:p>
      <w:r>
        <w:rPr>
          <w:b w:val="0"/>
        </w:rPr>
        <w:t>Le bilan du pilote devra relever la part des réponses validées à l’échéance, le temps de préparation du planning, les écarts entre planning affiché et publié, la réception des messages et les difficultés d’utilisation. Les seuils d’acceptation seront fixés avec le centre avant l’essai.</w:t>
      </w:r>
    </w:p>
    <w:p>
      <w:r>
        <w:rPr>
          <w:b w:val="0"/>
        </w:rPr>
        <w:t>Le passage en exploitation pourra être décidé lorsque les correctifs auront été vérifiés, que les scénarios métier auront été validés et que l’organisation du support sera définie. Le calendrier, les coûts d’hébergement et d’envoi, ainsi que la charge de maintenance restent à chiffrer selon le périmètre retenu.</w:t>
      </w:r>
    </w:p>
    <w:p>
      <w:pPr>
        <w:pStyle w:val="Heading2"/>
      </w:pPr>
      <w:r>
        <w:t>Documents de référence</w:t>
      </w:r>
    </w:p>
    <w:p>
      <w:r>
        <w:rPr>
          <w:b w:val="0"/>
          <w:color w:val="505762"/>
          <w:sz w:val="18"/>
        </w:rPr>
        <w:t>État fonctionnel : README et plan de développement du projet.</w:t>
        <w:br/>
        <w:t>Évaluation de mise en service : Audit de déployabilité du ZIP du 22 septembre 2026.</w:t>
        <w:br/>
        <w:t>Application : https://dispo-sp.vercel.app</w:t>
        <w:br/>
        <w:t>Dépôt du projet : https://github.com/emifrog/DispoSp</w:t>
      </w:r>
    </w:p>
    <w:p>
      <w:r>
        <w:rPr>
          <w:b w:val="0"/>
          <w:color w:val="505762"/>
          <w:sz w:val="18"/>
        </w:rPr>
        <w:t>Dossier établi le 23 septembre 2026. La décision de mise en service doit tenir compte des correctifs et des validations réalisés après l’audit.</w:t>
      </w:r>
    </w:p>
    <w:sectPr w:rsidR="00FC693F" w:rsidRPr="0006063C" w:rsidSect="00034616">
      <w:footerReference w:type="default" r:id="rId9"/>
      <w:pgSz w:w="11906" w:h="16838"/>
      <w:pgMar w:top="1077" w:right="1134" w:bottom="1077" w:left="1134" w:header="454"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638" w:val="right"/>
      </w:tabs>
      <w:spacing w:after="0"/>
    </w:pPr>
    <w:r>
      <w:rPr>
        <w:color w:val="606873"/>
        <w:sz w:val="16"/>
      </w:rPr>
      <w:t>DispoSP  |  Septembre 2026</w:t>
    </w:r>
    <w:r>
      <w:rPr>
        <w:sz w:val="16"/>
      </w:rPr>
      <w:tab/>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64" w:lineRule="auto" w:after="160"/>
    </w:pPr>
    <w:rPr>
      <w:rFonts w:ascii="Calibri" w:hAnsi="Calibri"/>
      <w:color w:val="000000"/>
      <w:sz w:val="22"/>
      <w:lang w:val="fr-FR"/>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0" w:after="300"/>
      <w:outlineLvl w:val="0"/>
    </w:pPr>
    <w:rPr>
      <w:rFonts w:asciiTheme="majorHAnsi" w:eastAsiaTheme="majorEastAsia" w:hAnsiTheme="majorHAnsi" w:cstheme="majorBidi" w:ascii="Calibri" w:hAnsi="Calibri"/>
      <w:b/>
      <w:bCs/>
      <w:color w:val="000000"/>
      <w:sz w:val="48"/>
      <w:szCs w:val="28"/>
    </w:rPr>
  </w:style>
  <w:style w:type="paragraph" w:styleId="Heading2">
    <w:name w:val="heading 2"/>
    <w:basedOn w:val="Normal"/>
    <w:next w:val="Normal"/>
    <w:link w:val="Heading2Char"/>
    <w:uiPriority w:val="9"/>
    <w:unhideWhenUsed/>
    <w:qFormat/>
    <w:rsid w:val="00FC693F"/>
    <w:pPr>
      <w:keepNext/>
      <w:keepLines/>
      <w:widowControl/>
      <w:spacing w:before="260" w:after="120"/>
      <w:outlineLvl w:val="1"/>
    </w:pPr>
    <w:rPr>
      <w:rFonts w:asciiTheme="majorHAnsi" w:eastAsiaTheme="majorEastAsia" w:hAnsiTheme="majorHAnsi" w:cstheme="majorBidi" w:ascii="Calibri" w:hAnsi="Calibri"/>
      <w:b/>
      <w:bCs/>
      <w:color w:val="000000"/>
      <w:sz w:val="28"/>
      <w:szCs w:val="26"/>
    </w:rPr>
  </w:style>
  <w:style w:type="paragraph" w:styleId="Heading3">
    <w:name w:val="heading 3"/>
    <w:basedOn w:val="Normal"/>
    <w:next w:val="Normal"/>
    <w:link w:val="Heading3Char"/>
    <w:uiPriority w:val="9"/>
    <w:unhideWhenUsed/>
    <w:qFormat/>
    <w:rsid w:val="00FC693F"/>
    <w:pPr>
      <w:keepNext/>
      <w:keepLines/>
      <w:widowControl/>
      <w:spacing w:before="200" w:after="0"/>
      <w:outlineLvl w:val="2"/>
    </w:pPr>
    <w:rPr>
      <w:rFonts w:asciiTheme="majorHAnsi" w:eastAsiaTheme="majorEastAsia" w:hAnsiTheme="majorHAnsi" w:cstheme="majorBidi" w:ascii="Calibri" w:hAnsi="Calibri"/>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widowControl/>
      <w:spacing w:after="260" w:line="240" w:lineRule="auto"/>
      <w:contextualSpacing/>
    </w:pPr>
    <w:rPr>
      <w:rFonts w:asciiTheme="majorHAnsi" w:eastAsiaTheme="majorEastAsia" w:hAnsiTheme="majorHAnsi" w:cstheme="majorBidi" w:ascii="Calibri" w:hAnsi="Calibri"/>
      <w:b/>
      <w:color w:val="000000"/>
      <w:spacing w:val="5"/>
      <w:kern w:val="28"/>
      <w:sz w:val="6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widowControl/>
      <w:numPr>
        <w:ilvl w:val="1"/>
      </w:numPr>
      <w:spacing w:after="320"/>
    </w:pPr>
    <w:rPr>
      <w:rFonts w:asciiTheme="majorHAnsi" w:eastAsiaTheme="majorEastAsia" w:hAnsiTheme="majorHAnsi" w:cstheme="majorBidi" w:ascii="Calibri" w:hAnsi="Calibri"/>
      <w:i/>
      <w:iCs/>
      <w:color w:val="000000"/>
      <w:spacing w:val="15"/>
      <w:sz w:val="3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DispoSP Dossier de présentation</dc:title>
  <dc:subject>Gestion des disponibilités et préparation des gardes</dc:subject>
  <dc:creator/>
  <cp:keywords>DispoSP, disponibilités, gardes, sapeurs-pompiers</cp:keywords>
  <dc:description>generated by python-docx</dc:description>
  <cp:lastModifiedBy/>
  <cp:revision>1</cp:revision>
  <dcterms:created xsi:type="dcterms:W3CDTF">2013-12-23T23:15:00Z</dcterms:created>
  <dcterms:modified xsi:type="dcterms:W3CDTF">2013-12-23T23:15:00Z</dcterms:modified>
  <cp:category/>
</cp:coreProperties>
</file>