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DispoSP</w:t>
      </w:r>
    </w:p>
    <w:p>
      <w:pPr>
        <w:pStyle w:val="Title"/>
      </w:pPr>
      <w:r>
        <w:t>Guide de prise en main des gestionnaires</w:t>
      </w:r>
    </w:p>
    <w:p>
      <w:pPr>
        <w:pStyle w:val="Subtitle"/>
      </w:pPr>
      <w:r>
        <w:t>De la campagne de disponibilités au planning publié</w:t>
      </w:r>
    </w:p>
    <w:p>
      <w:r>
        <w:rPr>
          <w:b w:val="0"/>
        </w:rPr>
        <w:t>Édition du 8 octobre 2026</w:t>
      </w:r>
    </w:p>
    <w:p>
      <w:r>
        <w:rPr>
          <w:b w:val="0"/>
        </w:rPr>
        <w:t>Ce guide accompagne les gestionnaires de centre dans les opérations courantes : préparer les agents, recueillir leurs disponibilités, définir les besoins, affecter les équipes et informer chacun après publication. Il sert aussi de support à une première séance de prise en main.</w:t>
      </w:r>
    </w:p>
    <w:p>
      <w:pPr>
        <w:pStyle w:val="Heading2"/>
      </w:pPr>
      <w:r>
        <w:t>Le parcours de travail</w:t>
      </w:r>
    </w:p>
    <w:p>
      <w:pPr>
        <w:ind w:left="255" w:hanging="255"/>
      </w:pPr>
      <w:r>
        <w:rPr>
          <w:b/>
        </w:rPr>
        <w:t xml:space="preserve">1. </w:t>
      </w:r>
      <w:r>
        <w:t>Vérifier les équipes, les agents actifs et leurs qualifications.</w:t>
      </w:r>
    </w:p>
    <w:p>
      <w:pPr>
        <w:ind w:left="255" w:hanging="255"/>
      </w:pPr>
      <w:r>
        <w:rPr>
          <w:b/>
        </w:rPr>
        <w:t xml:space="preserve">2. </w:t>
      </w:r>
      <w:r>
        <w:t>Ouvrir une campagne pour le mois et l’équipe concernés.</w:t>
      </w:r>
    </w:p>
    <w:p>
      <w:pPr>
        <w:ind w:left="255" w:hanging="255"/>
      </w:pPr>
      <w:r>
        <w:rPr>
          <w:b/>
        </w:rPr>
        <w:t xml:space="preserve">3. </w:t>
      </w:r>
      <w:r>
        <w:t>Suivre les réponses et relancer les agents qui ne les ont pas validées.</w:t>
      </w:r>
    </w:p>
    <w:p>
      <w:pPr>
        <w:ind w:left="255" w:hanging="255"/>
      </w:pPr>
      <w:r>
        <w:rPr>
          <w:b/>
        </w:rPr>
        <w:t xml:space="preserve">4. </w:t>
      </w:r>
      <w:r>
        <w:t>Renseigner les besoins, puis construire le brouillon Jour et Nuit.</w:t>
      </w:r>
    </w:p>
    <w:p>
      <w:pPr>
        <w:ind w:left="255" w:hanging="255"/>
      </w:pPr>
      <w:r>
        <w:rPr>
          <w:b/>
        </w:rPr>
        <w:t xml:space="preserve">5. </w:t>
      </w:r>
      <w:r>
        <w:t>Vérifier chaque garde et confirmer sa publication.</w:t>
      </w:r>
    </w:p>
    <w:p>
      <w:pPr>
        <w:ind w:left="255" w:hanging="255"/>
      </w:pPr>
      <w:r>
        <w:rPr>
          <w:b/>
        </w:rPr>
        <w:t xml:space="preserve">6. </w:t>
      </w:r>
      <w:r>
        <w:t>Traiter les désistements et republier les gardes modifiées.</w:t>
      </w:r>
    </w:p>
    <w:p>
      <w:pPr>
        <w:pStyle w:val="Heading2"/>
      </w:pPr>
      <w:r>
        <w:t>Trois états à toujours distinguer</w:t>
      </w:r>
    </w:p>
    <w:p>
      <w:r>
        <w:rPr>
          <w:b/>
        </w:rPr>
        <w:t>Une disponibilité indique qu’un agent peut être mobilisé. Une affectation au brouillon représente votre choix de préparation. Seule la publication rend ce choix visible dans le planning personnel de l’agent.</w:t>
      </w:r>
    </w:p>
    <w:p>
      <w:r>
        <w:rPr>
          <w:b w:val="0"/>
        </w:rPr>
        <w:t>Huit agents disponibles et six affectés pour un besoin de huit donnent une couverture potentielle de 8/8 et une couverture planifiée de 6/8. Deux affectations restent à faire.</w:t>
      </w:r>
    </w:p>
    <w:p>
      <w:pPr>
        <w:pStyle w:val="Heading2"/>
      </w:pPr>
      <w:r>
        <w:t>Se repérer dans ce guide</w:t>
      </w:r>
    </w:p>
    <w:tbl>
      <w:tblPr>
        <w:tblW w:type="auto" w:w="0"/>
        <w:jc w:val="center"/>
        <w:tblLayout w:type="fixed"/>
        <w:tblLook w:firstColumn="1" w:firstRow="1" w:lastColumn="0" w:lastRow="0" w:noHBand="0" w:noVBand="1" w:val="04A0"/>
      </w:tblPr>
      <w:tblGrid>
        <w:gridCol w:w="3685"/>
        <w:gridCol w:w="737"/>
        <w:gridCol w:w="4309"/>
        <w:gridCol w:w="907"/>
      </w:tblGrid>
      <w:tr>
        <w:trPr>
          <w:cantSplit/>
          <w:tblHeader/>
        </w:trPr>
        <w:tc>
          <w:tcPr>
            <w:tcW w:type="dxa" w:w="3685"/>
            <w:vAlign w:val="center"/>
            <w:tcMar>
              <w:top w:w="95" w:type="dxa"/>
              <w:left w:w="95" w:type="dxa"/>
              <w:bottom w:w="95" w:type="dxa"/>
              <w:right w:w="95" w:type="dxa"/>
            </w:tcMar>
            <w:shd w:fill="DCE7EF"/>
            <w:tcBorders>
              <w:top w:val="single" w:sz="4" w:color="D9D9D9"/>
              <w:left w:val="single" w:sz="4" w:color="D9D9D9"/>
              <w:bottom w:val="single" w:sz="4" w:color="D9D9D9"/>
              <w:right w:val="single" w:sz="4" w:color="D9D9D9"/>
            </w:tcBorders>
          </w:tcPr>
          <w:p>
            <w:pPr>
              <w:spacing w:after="40" w:line="245" w:lineRule="auto"/>
            </w:pPr>
            <w:r>
              <w:rPr>
                <w:b/>
                <w:sz w:val="20"/>
              </w:rPr>
              <w:t>Sujet</w:t>
            </w:r>
          </w:p>
        </w:tc>
        <w:tc>
          <w:tcPr>
            <w:tcW w:type="dxa" w:w="737"/>
            <w:vAlign w:val="center"/>
            <w:tcMar>
              <w:top w:w="95" w:type="dxa"/>
              <w:left w:w="95" w:type="dxa"/>
              <w:bottom w:w="95" w:type="dxa"/>
              <w:right w:w="95" w:type="dxa"/>
            </w:tcMar>
            <w:shd w:fill="DCE7EF"/>
            <w:tcBorders>
              <w:top w:val="single" w:sz="4" w:color="D9D9D9"/>
              <w:left w:val="single" w:sz="4" w:color="D9D9D9"/>
              <w:bottom w:val="single" w:sz="4" w:color="D9D9D9"/>
              <w:right w:val="single" w:sz="4" w:color="D9D9D9"/>
            </w:tcBorders>
          </w:tcPr>
          <w:p>
            <w:pPr>
              <w:spacing w:after="40" w:line="245" w:lineRule="auto"/>
            </w:pPr>
            <w:r>
              <w:rPr>
                <w:b/>
                <w:sz w:val="20"/>
              </w:rPr>
              <w:t>Page</w:t>
            </w:r>
          </w:p>
        </w:tc>
        <w:tc>
          <w:tcPr>
            <w:tcW w:type="dxa" w:w="4309"/>
            <w:vAlign w:val="center"/>
            <w:tcMar>
              <w:top w:w="95" w:type="dxa"/>
              <w:left w:w="95" w:type="dxa"/>
              <w:bottom w:w="95" w:type="dxa"/>
              <w:right w:w="95" w:type="dxa"/>
            </w:tcMar>
            <w:shd w:fill="DCE7EF"/>
            <w:tcBorders>
              <w:top w:val="single" w:sz="4" w:color="D9D9D9"/>
              <w:left w:val="single" w:sz="4" w:color="D9D9D9"/>
              <w:bottom w:val="single" w:sz="4" w:color="D9D9D9"/>
              <w:right w:val="single" w:sz="4" w:color="D9D9D9"/>
            </w:tcBorders>
          </w:tcPr>
          <w:p>
            <w:pPr>
              <w:spacing w:after="40" w:line="245" w:lineRule="auto"/>
            </w:pPr>
            <w:r>
              <w:rPr>
                <w:b/>
                <w:sz w:val="20"/>
              </w:rPr>
              <w:t>Sujet</w:t>
            </w:r>
          </w:p>
        </w:tc>
        <w:tc>
          <w:tcPr>
            <w:tcW w:type="dxa" w:w="907"/>
            <w:vAlign w:val="center"/>
            <w:tcMar>
              <w:top w:w="95" w:type="dxa"/>
              <w:left w:w="95" w:type="dxa"/>
              <w:bottom w:w="95" w:type="dxa"/>
              <w:right w:w="95" w:type="dxa"/>
            </w:tcMar>
            <w:shd w:fill="DCE7EF"/>
            <w:tcBorders>
              <w:top w:val="single" w:sz="4" w:color="D9D9D9"/>
              <w:left w:val="single" w:sz="4" w:color="D9D9D9"/>
              <w:bottom w:val="single" w:sz="4" w:color="D9D9D9"/>
              <w:right w:val="single" w:sz="4" w:color="D9D9D9"/>
            </w:tcBorders>
          </w:tcPr>
          <w:p>
            <w:pPr>
              <w:spacing w:after="40" w:line="245" w:lineRule="auto"/>
            </w:pPr>
            <w:r>
              <w:rPr>
                <w:b/>
                <w:sz w:val="20"/>
              </w:rPr>
              <w:t>Page</w:t>
            </w:r>
          </w:p>
        </w:tc>
      </w:tr>
      <w:tr>
        <w:trPr>
          <w:cantSplit/>
        </w:trPr>
        <w:tc>
          <w:tcPr>
            <w:tcW w:type="dxa" w:w="3685"/>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Accès et navigation</w:t>
            </w:r>
          </w:p>
        </w:tc>
        <w:tc>
          <w:tcPr>
            <w:tcW w:type="dxa" w:w="737"/>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2</w:t>
            </w:r>
          </w:p>
        </w:tc>
        <w:tc>
          <w:tcPr>
            <w:tcW w:type="dxa" w:w="4309"/>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Construire et publier</w:t>
            </w:r>
          </w:p>
        </w:tc>
        <w:tc>
          <w:tcPr>
            <w:tcW w:type="dxa" w:w="907"/>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7</w:t>
            </w:r>
          </w:p>
        </w:tc>
      </w:tr>
      <w:tr>
        <w:trPr>
          <w:cantSplit/>
        </w:trPr>
        <w:tc>
          <w:tcPr>
            <w:tcW w:type="dxa" w:w="3685"/>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Agents et équipes</w:t>
            </w:r>
          </w:p>
        </w:tc>
        <w:tc>
          <w:tcPr>
            <w:tcW w:type="dxa" w:w="737"/>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3</w:t>
            </w:r>
          </w:p>
        </w:tc>
        <w:tc>
          <w:tcPr>
            <w:tcW w:type="dxa" w:w="4309"/>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Désistements</w:t>
            </w:r>
          </w:p>
        </w:tc>
        <w:tc>
          <w:tcPr>
            <w:tcW w:type="dxa" w:w="907"/>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8</w:t>
            </w:r>
          </w:p>
        </w:tc>
      </w:tr>
      <w:tr>
        <w:trPr>
          <w:cantSplit/>
        </w:trPr>
        <w:tc>
          <w:tcPr>
            <w:tcW w:type="dxa" w:w="3685"/>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Campagnes</w:t>
            </w:r>
          </w:p>
        </w:tc>
        <w:tc>
          <w:tcPr>
            <w:tcW w:type="dxa" w:w="737"/>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4</w:t>
            </w:r>
          </w:p>
        </w:tc>
        <w:tc>
          <w:tcPr>
            <w:tcW w:type="dxa" w:w="4309"/>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Notifications et téléphone</w:t>
            </w:r>
          </w:p>
        </w:tc>
        <w:tc>
          <w:tcPr>
            <w:tcW w:type="dxa" w:w="907"/>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9</w:t>
            </w:r>
          </w:p>
        </w:tc>
      </w:tr>
      <w:tr>
        <w:trPr>
          <w:cantSplit/>
        </w:trPr>
        <w:tc>
          <w:tcPr>
            <w:tcW w:type="dxa" w:w="3685"/>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Réponses et couverture</w:t>
            </w:r>
          </w:p>
        </w:tc>
        <w:tc>
          <w:tcPr>
            <w:tcW w:type="dxa" w:w="737"/>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5</w:t>
            </w:r>
          </w:p>
        </w:tc>
        <w:tc>
          <w:tcPr>
            <w:tcW w:type="dxa" w:w="4309"/>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Exports et aide rapide</w:t>
            </w:r>
          </w:p>
        </w:tc>
        <w:tc>
          <w:tcPr>
            <w:tcW w:type="dxa" w:w="907"/>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10</w:t>
            </w:r>
          </w:p>
        </w:tc>
      </w:tr>
      <w:tr>
        <w:trPr>
          <w:cantSplit/>
        </w:trPr>
        <w:tc>
          <w:tcPr>
            <w:tcW w:type="dxa" w:w="3685"/>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Besoins et qualifications</w:t>
            </w:r>
          </w:p>
        </w:tc>
        <w:tc>
          <w:tcPr>
            <w:tcW w:type="dxa" w:w="737"/>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6</w:t>
            </w:r>
          </w:p>
        </w:tc>
        <w:tc>
          <w:tcPr>
            <w:tcW w:type="dxa" w:w="4309"/>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r>
          </w:p>
        </w:tc>
        <w:tc>
          <w:tcPr>
            <w:tcW w:type="dxa" w:w="907"/>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r>
          </w:p>
        </w:tc>
      </w:tr>
    </w:tbl>
    <w:p>
      <w:pPr>
        <w:spacing w:after="0"/>
      </w:pPr>
    </w:p>
    <w:p>
      <w:r>
        <w:br w:type="page"/>
      </w:r>
    </w:p>
    <w:p>
      <w:pPr>
        <w:pStyle w:val="Heading1"/>
      </w:pPr>
      <w:r>
        <w:t>Accéder à votre espace</w:t>
      </w:r>
    </w:p>
    <w:p>
      <w:pPr>
        <w:pStyle w:val="Heading2"/>
      </w:pPr>
      <w:r>
        <w:t>Première connexion</w:t>
      </w:r>
    </w:p>
    <w:p>
      <w:pPr>
        <w:ind w:left="255" w:hanging="255"/>
      </w:pPr>
      <w:r>
        <w:rPr>
          <w:b/>
        </w:rPr>
        <w:t xml:space="preserve">1. </w:t>
      </w:r>
      <w:r>
        <w:t>Ouvrez l’adresse DispoSP transmise par votre centre.</w:t>
      </w:r>
    </w:p>
    <w:p>
      <w:pPr>
        <w:ind w:left="255" w:hanging="255"/>
      </w:pPr>
      <w:r>
        <w:rPr>
          <w:b/>
        </w:rPr>
        <w:t xml:space="preserve">2. </w:t>
      </w:r>
      <w:r>
        <w:t>Si vous avez reçu une invitation, ouvrez le lien d’activation et choisissez vous-même votre mot de passe.</w:t>
      </w:r>
    </w:p>
    <w:p>
      <w:pPr>
        <w:ind w:left="255" w:hanging="255"/>
      </w:pPr>
      <w:r>
        <w:rPr>
          <w:b/>
        </w:rPr>
        <w:t xml:space="preserve">3. </w:t>
      </w:r>
      <w:r>
        <w:t>Connectez-vous avec votre adresse électronique et votre mot de passe. En cas d’oubli, utilisez le parcours de réinitialisation proposé à la connexion.</w:t>
      </w:r>
    </w:p>
    <w:p>
      <w:pPr>
        <w:ind w:left="255" w:hanging="255"/>
      </w:pPr>
      <w:r>
        <w:rPr>
          <w:b/>
        </w:rPr>
        <w:t xml:space="preserve">4. </w:t>
      </w:r>
      <w:r>
        <w:t>Vérifiez le nom du centre et le rôle affiché dans le bandeau : Gestionnaire ou Administrateur.</w:t>
      </w:r>
    </w:p>
    <w:p>
      <w:pPr>
        <w:ind w:left="255" w:hanging="255"/>
      </w:pPr>
      <w:r>
        <w:rPr>
          <w:b/>
        </w:rPr>
        <w:t xml:space="preserve">5. </w:t>
      </w:r>
      <w:r>
        <w:t>Choisissez la bonne campagne dans le sélecteur en haut de l’espace de travail. Si plusieurs équipes ont une campagne le même mois, vérifiez également son nom.</w:t>
      </w:r>
    </w:p>
    <w:p>
      <w:r>
        <w:rPr>
          <w:b w:val="0"/>
        </w:rPr>
        <w:t>Si « Compte en attente de rattachement » apparaît, contactez l’administrateur du centre. Si « Aucune campagne ouverte » apparaît au premier démarrage, l’administrateur technique doit préparer la première campagne ; vous pourrez créer les suivantes depuis l’application.</w:t>
      </w:r>
    </w:p>
    <w:p>
      <w:pPr>
        <w:pStyle w:val="Heading2"/>
      </w:pPr>
      <w:r>
        <w:t>Les écrans utiles</w:t>
      </w:r>
    </w:p>
    <w:tbl>
      <w:tblPr>
        <w:tblW w:type="auto" w:w="0"/>
        <w:jc w:val="center"/>
        <w:tblLayout w:type="fixed"/>
        <w:tblLook w:firstColumn="1" w:firstRow="1" w:lastColumn="0" w:lastRow="0" w:noHBand="0" w:noVBand="1" w:val="04A0"/>
      </w:tblPr>
      <w:tblGrid>
        <w:gridCol w:w="2835"/>
        <w:gridCol w:w="6803"/>
      </w:tblGrid>
      <w:tr>
        <w:trPr>
          <w:cantSplit/>
          <w:tblHeader/>
        </w:trPr>
        <w:tc>
          <w:tcPr>
            <w:tcW w:type="dxa" w:w="2835"/>
            <w:vAlign w:val="center"/>
            <w:tcMar>
              <w:top w:w="95" w:type="dxa"/>
              <w:left w:w="95" w:type="dxa"/>
              <w:bottom w:w="95" w:type="dxa"/>
              <w:right w:w="95" w:type="dxa"/>
            </w:tcMar>
            <w:shd w:fill="DCE7EF"/>
            <w:tcBorders>
              <w:top w:val="single" w:sz="4" w:color="D9D9D9"/>
              <w:left w:val="single" w:sz="4" w:color="D9D9D9"/>
              <w:bottom w:val="single" w:sz="4" w:color="D9D9D9"/>
              <w:right w:val="single" w:sz="4" w:color="D9D9D9"/>
            </w:tcBorders>
          </w:tcPr>
          <w:p>
            <w:pPr>
              <w:spacing w:after="40" w:line="245" w:lineRule="auto"/>
            </w:pPr>
            <w:r>
              <w:rPr>
                <w:b/>
                <w:sz w:val="20"/>
              </w:rPr>
              <w:t>Écran</w:t>
            </w:r>
          </w:p>
        </w:tc>
        <w:tc>
          <w:tcPr>
            <w:tcW w:type="dxa" w:w="6803"/>
            <w:vAlign w:val="center"/>
            <w:tcMar>
              <w:top w:w="95" w:type="dxa"/>
              <w:left w:w="95" w:type="dxa"/>
              <w:bottom w:w="95" w:type="dxa"/>
              <w:right w:w="95" w:type="dxa"/>
            </w:tcMar>
            <w:shd w:fill="DCE7EF"/>
            <w:tcBorders>
              <w:top w:val="single" w:sz="4" w:color="D9D9D9"/>
              <w:left w:val="single" w:sz="4" w:color="D9D9D9"/>
              <w:bottom w:val="single" w:sz="4" w:color="D9D9D9"/>
              <w:right w:val="single" w:sz="4" w:color="D9D9D9"/>
            </w:tcBorders>
          </w:tcPr>
          <w:p>
            <w:pPr>
              <w:spacing w:after="40" w:line="245" w:lineRule="auto"/>
            </w:pPr>
            <w:r>
              <w:rPr>
                <w:b/>
                <w:sz w:val="20"/>
              </w:rPr>
              <w:t>À quoi il sert</w:t>
            </w:r>
          </w:p>
        </w:tc>
      </w:tr>
      <w:tr>
        <w:trPr>
          <w:cantSplit/>
        </w:trPr>
        <w:tc>
          <w:tcPr>
            <w:tcW w:type="dxa" w:w="2835"/>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Tableau de bord</w:t>
            </w:r>
          </w:p>
        </w:tc>
        <w:tc>
          <w:tcPr>
            <w:tcW w:type="dxa" w:w="6803"/>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Repérer les réponses manquantes et les déficits.</w:t>
            </w:r>
          </w:p>
        </w:tc>
      </w:tr>
      <w:tr>
        <w:trPr>
          <w:cantSplit/>
        </w:trPr>
        <w:tc>
          <w:tcPr>
            <w:tcW w:type="dxa" w:w="2835"/>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Disponibilités</w:t>
            </w:r>
          </w:p>
        </w:tc>
        <w:tc>
          <w:tcPr>
            <w:tcW w:type="dxa" w:w="6803"/>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Lire la matrice du mois ou les listes par journée.</w:t>
            </w:r>
          </w:p>
        </w:tc>
      </w:tr>
      <w:tr>
        <w:trPr>
          <w:cantSplit/>
        </w:trPr>
        <w:tc>
          <w:tcPr>
            <w:tcW w:type="dxa" w:w="2835"/>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Planning et Besoins</w:t>
            </w:r>
          </w:p>
        </w:tc>
        <w:tc>
          <w:tcPr>
            <w:tcW w:type="dxa" w:w="6803"/>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Définir les minima, affecter et publier les gardes.</w:t>
            </w:r>
          </w:p>
        </w:tc>
      </w:tr>
      <w:tr>
        <w:trPr>
          <w:cantSplit/>
        </w:trPr>
        <w:tc>
          <w:tcPr>
            <w:tcW w:type="dxa" w:w="2835"/>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Campagnes</w:t>
            </w:r>
          </w:p>
        </w:tc>
        <w:tc>
          <w:tcPr>
            <w:tcW w:type="dxa" w:w="6803"/>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Ouvrir la collecte et verrouiller la saisie.</w:t>
            </w:r>
          </w:p>
        </w:tc>
      </w:tr>
      <w:tr>
        <w:trPr>
          <w:cantSplit/>
        </w:trPr>
        <w:tc>
          <w:tcPr>
            <w:tcW w:type="dxa" w:w="2835"/>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Agents &amp; équipes</w:t>
            </w:r>
          </w:p>
        </w:tc>
        <w:tc>
          <w:tcPr>
            <w:tcW w:type="dxa" w:w="6803"/>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Inviter, tenir les fiches et organiser les équipes.</w:t>
            </w:r>
          </w:p>
        </w:tc>
      </w:tr>
      <w:tr>
        <w:trPr>
          <w:cantSplit/>
        </w:trPr>
        <w:tc>
          <w:tcPr>
            <w:tcW w:type="dxa" w:w="2835"/>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Demandes</w:t>
            </w:r>
          </w:p>
        </w:tc>
        <w:tc>
          <w:tcPr>
            <w:tcW w:type="dxa" w:w="6803"/>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Accepter ou refuser les désistements.</w:t>
            </w:r>
          </w:p>
        </w:tc>
      </w:tr>
      <w:tr>
        <w:trPr>
          <w:cantSplit/>
        </w:trPr>
        <w:tc>
          <w:tcPr>
            <w:tcW w:type="dxa" w:w="2835"/>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Statistiques et Historique</w:t>
            </w:r>
          </w:p>
        </w:tc>
        <w:tc>
          <w:tcPr>
            <w:tcW w:type="dxa" w:w="6803"/>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Suivre les indicateurs et les actions récentes.</w:t>
            </w:r>
          </w:p>
        </w:tc>
      </w:tr>
      <w:tr>
        <w:trPr>
          <w:cantSplit/>
        </w:trPr>
        <w:tc>
          <w:tcPr>
            <w:tcW w:type="dxa" w:w="2835"/>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Paramètres</w:t>
            </w:r>
          </w:p>
        </w:tc>
        <w:tc>
          <w:tcPr>
            <w:tcW w:type="dxa" w:w="6803"/>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Régler les horaires des futures campagnes.</w:t>
            </w:r>
          </w:p>
        </w:tc>
      </w:tr>
    </w:tbl>
    <w:p>
      <w:pPr>
        <w:spacing w:after="0"/>
      </w:pPr>
    </w:p>
    <w:p>
      <w:pPr>
        <w:pStyle w:val="Heading2"/>
      </w:pPr>
      <w:r>
        <w:t>Vos droits de gestionnaire</w:t>
      </w:r>
    </w:p>
    <w:p>
      <w:r>
        <w:rPr>
          <w:b w:val="0"/>
        </w:rPr>
        <w:t>Vous gérez l’ensemble de votre centre, y compris les écrans regroupés sous « Administration ». Ce libellé du menu ne signifie pas qu’ils sont réservés au rôle Administrateur.</w:t>
      </w:r>
    </w:p>
    <w:p>
      <w:r>
        <w:rPr>
          <w:b w:val="0"/>
        </w:rPr>
        <w:t>Vous pouvez inviter un Agent ou un Gestionnaire. Seul un Administrateur peut inviter un Administrateur, modifier le rôle d’un autre compte ou réactiver un Administrateur désactivé. Personne ne modifie son propre rôle.</w:t>
      </w:r>
    </w:p>
    <w:p>
      <w:r>
        <w:rPr>
          <w:b w:val="0"/>
        </w:rPr>
        <w:t>Sur téléphone, ouvrez le menu pour accéder à toutes les rubriques. Attendez la fin du chargement avant de répéter une action. Une connexion réseau est nécessaire pour consulter les données à jour et enregistrer les changements.</w:t>
      </w:r>
    </w:p>
    <w:p>
      <w:r>
        <w:br w:type="page"/>
      </w:r>
    </w:p>
    <w:p>
      <w:pPr>
        <w:pStyle w:val="Heading1"/>
      </w:pPr>
      <w:r>
        <w:t>Préparer les agents et les équipes</w:t>
      </w:r>
    </w:p>
    <w:p>
      <w:pPr>
        <w:pStyle w:val="Heading2"/>
      </w:pPr>
      <w:r>
        <w:t>Inviter un agent</w:t>
      </w:r>
    </w:p>
    <w:p>
      <w:pPr>
        <w:ind w:left="255" w:hanging="255"/>
      </w:pPr>
      <w:r>
        <w:rPr>
          <w:b/>
        </w:rPr>
        <w:t xml:space="preserve">1. </w:t>
      </w:r>
      <w:r>
        <w:t>Ouvrez « Agents &amp; équipes », puis « Inviter un agent ».</w:t>
      </w:r>
    </w:p>
    <w:p>
      <w:pPr>
        <w:ind w:left="255" w:hanging="255"/>
      </w:pPr>
      <w:r>
        <w:rPr>
          <w:b/>
        </w:rPr>
        <w:t xml:space="preserve">2. </w:t>
      </w:r>
      <w:r>
        <w:t>Renseignez l’adresse électronique, le nom et prénom, puis les informations de fiche : grade, fonction, conduite, matricule et téléphone.</w:t>
      </w:r>
    </w:p>
    <w:p>
      <w:pPr>
        <w:ind w:left="255" w:hanging="255"/>
      </w:pPr>
      <w:r>
        <w:rPr>
          <w:b/>
        </w:rPr>
        <w:t xml:space="preserve">3. </w:t>
      </w:r>
      <w:r>
        <w:t>Choisissez le rôle approprié. Le rôle Agent suffit pour renseigner ses disponibilités et consulter ses gardes.</w:t>
      </w:r>
    </w:p>
    <w:p>
      <w:pPr>
        <w:ind w:left="255" w:hanging="255"/>
      </w:pPr>
      <w:r>
        <w:rPr>
          <w:b/>
        </w:rPr>
        <w:t xml:space="preserve">4. </w:t>
      </w:r>
      <w:r>
        <w:t>Cliquez sur « Envoyer l’invitation » et lisez le résultat affiché. L’invité rejoint votre équipe ; sa fiche permettra ensuite de le déplacer si nécessaire.</w:t>
      </w:r>
    </w:p>
    <w:p>
      <w:pPr>
        <w:ind w:left="255" w:hanging="255"/>
      </w:pPr>
      <w:r>
        <w:rPr>
          <w:b/>
        </w:rPr>
        <w:t xml:space="preserve">5. </w:t>
      </w:r>
      <w:r>
        <w:t>Après son arrivée, ouvrez « Modifier », vérifiez son équipe et complétez ses qualifications. Cliquez sur « Enregistrer la fiche ».</w:t>
      </w:r>
    </w:p>
    <w:p>
      <w:r>
        <w:rPr>
          <w:b w:val="0"/>
        </w:rPr>
        <w:t>L’agent choisit son propre mot de passe. Ne lui créez pas de mot de passe à transmettre. Si un compte existe déjà et peut être rattaché, l’arrivée peut être immédiate, sans nouveau message d’activation. Un compte actif dans un autre centre ne peut pas être repris directement.</w:t>
      </w:r>
    </w:p>
    <w:p>
      <w:pPr>
        <w:pStyle w:val="Heading2"/>
      </w:pPr>
      <w:r>
        <w:t>Suivre les invitations</w:t>
      </w:r>
    </w:p>
    <w:p>
      <w:r>
        <w:rPr>
          <w:b w:val="0"/>
        </w:rPr>
        <w:t>Dans « Invitations en attente », « Renvoyer » expédie un nouveau message ; « Annuler » demande confirmation. Vérifiez l’adresse et le dossier des courriers indésirables avant de renvoyer. Des limites d’envoi peuvent imposer d’attendre : suivez le message de l’application.</w:t>
      </w:r>
    </w:p>
    <w:p>
      <w:pPr>
        <w:pStyle w:val="Heading2"/>
      </w:pPr>
      <w:r>
        <w:t>Tenir les qualifications à jour</w:t>
      </w:r>
    </w:p>
    <w:p>
      <w:r>
        <w:rPr>
          <w:b w:val="0"/>
        </w:rPr>
        <w:t>Le grade, la fonction et la conduite sont distincts. Pour la conduite, un seul choix est enregistré : Aucun, COD SSR, PL, COD2 ou COD6. Les autres qualifications se cochent dans la fiche ; une qualification absente du catalogue peut être ajoutée.</w:t>
      </w:r>
    </w:p>
    <w:p>
      <w:r>
        <w:rPr>
          <w:b/>
        </w:rPr>
        <w:t>Les besoins utilisent les intitulés exacts des qualifications. « PL » et « Conducteur PL » sont deux intitulés différents ; ne comptez pas sur une équivalence automatique. Harmonisez les fiches et les besoins avant publication.</w:t>
      </w:r>
    </w:p>
    <w:p>
      <w:pPr>
        <w:pStyle w:val="Heading2"/>
      </w:pPr>
      <w:r>
        <w:t>Changer une équipe ou désactiver un agent</w:t>
      </w:r>
    </w:p>
    <w:p>
      <w:r>
        <w:rPr>
          <w:b w:val="0"/>
        </w:rPr>
        <w:t>« Nouvelle équipe » et « Renommer » gèrent les équipes. Modifier l’équipe dans une fiche ne déplace pas les anciennes campagnes : contrôlez la participation de l’agent aux campagnes en cours.</w:t>
      </w:r>
    </w:p>
    <w:p>
      <w:r>
        <w:rPr>
          <w:b w:val="0"/>
        </w:rPr>
        <w:t>Pour désactiver un agent, ouvrez sa fiche, décochez « Agent actif », puis confirmez. Il sort des synthèses et du vivier, mais ses affectations existantes demandent encore une vérification. Retirez-le des brouillons concernés, remplacez-le et republiez les gardes qui doivent changer.</w:t>
      </w:r>
    </w:p>
    <w:p>
      <w:r>
        <w:rPr>
          <w:b w:val="0"/>
        </w:rPr>
        <w:t>« Réactiver » se trouve dans « Agents désactivés ». Vérifiez la fiche et enregistrez. La réactivation d’un Administrateur reste réservée à un Administrateur.</w:t>
      </w:r>
    </w:p>
    <w:p>
      <w:r>
        <w:br w:type="page"/>
      </w:r>
    </w:p>
    <w:p>
      <w:pPr>
        <w:pStyle w:val="Heading1"/>
      </w:pPr>
      <w:r>
        <w:t>Ouvrir et clôturer une campagne</w:t>
      </w:r>
    </w:p>
    <w:p>
      <w:pPr>
        <w:pStyle w:val="Heading2"/>
      </w:pPr>
      <w:r>
        <w:t>Avant de commencer</w:t>
      </w:r>
    </w:p>
    <w:p>
      <w:r>
        <w:rPr>
          <w:b w:val="0"/>
        </w:rPr>
        <w:t>Vérifiez le mois, l’équipe destinataire et la date limite de réponse. Une campagne concerne une équipe et un mois. Pour deux équipes le même mois, créez deux campagnes distinctes ; utilisez des noms qui permettent de les différencier.</w:t>
      </w:r>
    </w:p>
    <w:p>
      <w:pPr>
        <w:ind w:left="255" w:hanging="255"/>
      </w:pPr>
      <w:r>
        <w:rPr>
          <w:b/>
        </w:rPr>
        <w:t xml:space="preserve">1. </w:t>
      </w:r>
      <w:r>
        <w:t>Ouvrez « Campagnes », puis « Nouvelle campagne ».</w:t>
      </w:r>
    </w:p>
    <w:p>
      <w:pPr>
        <w:ind w:left="255" w:hanging="255"/>
      </w:pPr>
      <w:r>
        <w:rPr>
          <w:b/>
        </w:rPr>
        <w:t xml:space="preserve">2. </w:t>
      </w:r>
      <w:r>
        <w:t>Saisissez le « Nom de la campagne », par exemple « Novembre 2026 Équipe Alpha ».</w:t>
      </w:r>
    </w:p>
    <w:p>
      <w:pPr>
        <w:ind w:left="255" w:hanging="255"/>
      </w:pPr>
      <w:r>
        <w:rPr>
          <w:b/>
        </w:rPr>
        <w:t xml:space="preserve">3. </w:t>
      </w:r>
      <w:r>
        <w:t>Si le centre comporte plusieurs équipes, sélectionnez l’équipe concernée.</w:t>
      </w:r>
    </w:p>
    <w:p>
      <w:pPr>
        <w:ind w:left="255" w:hanging="255"/>
      </w:pPr>
      <w:r>
        <w:rPr>
          <w:b/>
        </w:rPr>
        <w:t xml:space="preserve">4. </w:t>
      </w:r>
      <w:r>
        <w:t>Choisissez le « Mois concerné » et la « Clôture des réponses ». Vérifiez les horaires affichés.</w:t>
      </w:r>
    </w:p>
    <w:p>
      <w:pPr>
        <w:ind w:left="255" w:hanging="255"/>
      </w:pPr>
      <w:r>
        <w:rPr>
          <w:b/>
        </w:rPr>
        <w:t xml:space="preserve">5. </w:t>
      </w:r>
      <w:r>
        <w:t>Cliquez sur « Créer et ouvrir la campagne ». La collecte s’ouvre dès la création et les participants sont prévenus dans l’application ; les autres canaux dépendent de leur activation et de leur disponibilité.</w:t>
      </w:r>
    </w:p>
    <w:p>
      <w:pPr>
        <w:ind w:left="255" w:hanging="255"/>
      </w:pPr>
      <w:r>
        <w:rPr>
          <w:b/>
        </w:rPr>
        <w:t xml:space="preserve">6. </w:t>
      </w:r>
      <w:r>
        <w:t>Utilisez « Consulter les réponses » pour ouvrir la synthèse de cette campagne.</w:t>
      </w:r>
    </w:p>
    <w:p>
      <w:pPr>
        <w:pStyle w:val="Heading2"/>
      </w:pPr>
      <w:r>
        <w:t>Les horaires et la date des nuits</w:t>
      </w:r>
    </w:p>
    <w:p>
      <w:r>
        <w:rPr>
          <w:b w:val="0"/>
        </w:rPr>
        <w:t>Par défaut, Jour va de 8 h à 20 h et Nuit de 20 h à 8 h le lendemain. La nuit appartient à sa date de début. Ainsi, la nuit du 15 novembre commence le 15 à 20 h et finit le 16 à 8 h.</w:t>
      </w:r>
    </w:p>
    <w:p>
      <w:r>
        <w:rPr>
          <w:b w:val="0"/>
        </w:rPr>
        <w:t>Une disponibilité 24 h au 15 novembre couvre le Jour et la Nuit de cette date. Elle ne crée aucune affectation. Pour retenir cet agent 24 h, il faudra l’affecter et publier séparément les deux créneaux.</w:t>
      </w:r>
    </w:p>
    <w:p>
      <w:r>
        <w:rPr>
          <w:b w:val="0"/>
        </w:rPr>
        <w:t>Dans « Paramètres », « Enregistrer les horaires » change les horaires par défaut des nouvelles campagnes. Les campagnes déjà créées conservent les leurs. Référez-vous toujours aux horaires de la campagne affichée.</w:t>
      </w:r>
    </w:p>
    <w:p>
      <w:pPr>
        <w:pStyle w:val="Heading2"/>
      </w:pPr>
      <w:r>
        <w:t>Verrouiller la saisie</w:t>
      </w:r>
    </w:p>
    <w:p>
      <w:pPr>
        <w:ind w:left="255" w:hanging="255"/>
      </w:pPr>
      <w:r>
        <w:rPr>
          <w:b/>
        </w:rPr>
        <w:t xml:space="preserve">1. </w:t>
      </w:r>
      <w:r>
        <w:t>Dans « Campagnes », repérez la campagne à fermer à la saisie.</w:t>
      </w:r>
    </w:p>
    <w:p>
      <w:pPr>
        <w:ind w:left="255" w:hanging="255"/>
      </w:pPr>
      <w:r>
        <w:rPr>
          <w:b/>
        </w:rPr>
        <w:t xml:space="preserve">2. </w:t>
      </w:r>
      <w:r>
        <w:t>Cliquez sur « Verrouiller la saisie », puis confirmez. Les agents ne peuvent plus modifier ni valider leurs disponibilités.</w:t>
      </w:r>
    </w:p>
    <w:p>
      <w:pPr>
        <w:ind w:left="255" w:hanging="255"/>
      </w:pPr>
      <w:r>
        <w:rPr>
          <w:b/>
        </w:rPr>
        <w:t xml:space="preserve">3. </w:t>
      </w:r>
      <w:r>
        <w:t>Si la date de clôture n’est pas passée, « Déverrouiller » permet de rouvrir la saisie. Contrôlez ensuite les nouvelles réponses.</w:t>
      </w:r>
    </w:p>
    <w:p>
      <w:r>
        <w:rPr>
          <w:b w:val="0"/>
        </w:rPr>
        <w:t>Déverrouiller après la date limite ne rouvre pas la collecte : le bouton n’est alors plus proposé. Verrouiller une campagne ne publie aucun planning.</w:t>
      </w:r>
    </w:p>
    <w:p>
      <w:r>
        <w:rPr>
          <w:b w:val="0"/>
        </w:rPr>
        <w:t>Un membre actif qui arrive dans l’équipe pendant une campagne ouverte y est inscrit. Lors d’un déverrouillage avant clôture, les membres arrivés pendant le verrouillage sont également pris en compte.</w:t>
      </w:r>
    </w:p>
    <w:p>
      <w:r>
        <w:br w:type="page"/>
      </w:r>
    </w:p>
    <w:p>
      <w:pPr>
        <w:pStyle w:val="Heading1"/>
      </w:pPr>
      <w:r>
        <w:t>Suivre les réponses et la couverture</w:t>
      </w:r>
    </w:p>
    <w:p>
      <w:pPr>
        <w:pStyle w:val="Heading2"/>
      </w:pPr>
      <w:r>
        <w:t>Lire les disponibilités</w:t>
      </w:r>
    </w:p>
    <w:p>
      <w:pPr>
        <w:ind w:left="255" w:hanging="255"/>
      </w:pPr>
      <w:r>
        <w:rPr>
          <w:b/>
        </w:rPr>
        <w:t xml:space="preserve">1. </w:t>
      </w:r>
      <w:r>
        <w:t>Choisissez la campagne, puis ouvrez « Disponibilités ».</w:t>
      </w:r>
    </w:p>
    <w:p>
      <w:pPr>
        <w:ind w:left="255" w:hanging="255"/>
      </w:pPr>
      <w:r>
        <w:rPr>
          <w:b/>
        </w:rPr>
        <w:t xml:space="preserve">2. </w:t>
      </w:r>
      <w:r>
        <w:t>Utilisez « Matrice » pour comparer le mois, ou « Par journée » pour retrouver les agents d’une date.</w:t>
      </w:r>
    </w:p>
    <w:p>
      <w:pPr>
        <w:ind w:left="255" w:hanging="255"/>
      </w:pPr>
      <w:r>
        <w:rPr>
          <w:b/>
        </w:rPr>
        <w:t xml:space="preserve">3. </w:t>
      </w:r>
      <w:r>
        <w:t>Recherchez un agent et, si utile, filtrez par équipe ou par validation. Retirez ces filtres si une personne semble manquer.</w:t>
      </w:r>
    </w:p>
    <w:p>
      <w:pPr>
        <w:ind w:left="255" w:hanging="255"/>
      </w:pPr>
      <w:r>
        <w:rPr>
          <w:b/>
        </w:rPr>
        <w:t xml:space="preserve">4. </w:t>
      </w:r>
      <w:r>
        <w:t>En matrice, choisissez « Vue détaillée » ou « Vue compacte ». Sur petit écran, faites défiler le tableau horizontalement ; les journées restent celles du mois choisi.</w:t>
      </w:r>
    </w:p>
    <w:p>
      <w:r>
        <w:rPr>
          <w:b w:val="0"/>
        </w:rPr>
        <w:t>Les états sont Jour, Nuit, 24 h, Indisponible et Non renseigné. « Indisponible » est une réponse ; « Non renseigné » est une absence de réponse pour la journée.</w:t>
      </w:r>
    </w:p>
    <w:p>
      <w:r>
        <w:rPr>
          <w:b/>
        </w:rPr>
        <w:t>Un calendrier rempli ne suffit pas. L’agent doit renseigner tous les jours puis valider explicitement sa réponse. Une modification ultérieure invalide la réponse de la campagne entière, qui doit être validée à nouveau.</w:t>
      </w:r>
    </w:p>
    <w:p>
      <w:pPr>
        <w:pStyle w:val="Heading2"/>
      </w:pPr>
      <w:r>
        <w:t>Relancer les réponses manquantes</w:t>
      </w:r>
    </w:p>
    <w:p>
      <w:r>
        <w:rPr>
          <w:b w:val="0"/>
        </w:rPr>
        <w:t>Dans « Tableau de bord », consultez « État des réponses » puis « Relancer … agents ». L’action vise les participants actifs n’ayant pas validé, uniquement pendant l’ouverture de la campagne. La relance est manuelle ; ne supposez pas qu’un rappel partira tout seul. Une limite de fréquence empêche de multiplier les relances rapprochées.</w:t>
      </w:r>
    </w:p>
    <w:p>
      <w:pPr>
        <w:pStyle w:val="Heading2"/>
      </w:pPr>
      <w:r>
        <w:t>Choisir la bonne mesure</w:t>
      </w:r>
    </w:p>
    <w:tbl>
      <w:tblPr>
        <w:tblW w:type="auto" w:w="0"/>
        <w:jc w:val="center"/>
        <w:tblLayout w:type="fixed"/>
        <w:tblLook w:firstColumn="1" w:firstRow="1" w:lastColumn="0" w:lastRow="0" w:noHBand="0" w:noVBand="1" w:val="04A0"/>
      </w:tblPr>
      <w:tblGrid>
        <w:gridCol w:w="3061"/>
        <w:gridCol w:w="6576"/>
      </w:tblGrid>
      <w:tr>
        <w:trPr>
          <w:cantSplit/>
          <w:tblHeader/>
        </w:trPr>
        <w:tc>
          <w:tcPr>
            <w:tcW w:type="dxa" w:w="3061"/>
            <w:vAlign w:val="center"/>
            <w:tcMar>
              <w:top w:w="95" w:type="dxa"/>
              <w:left w:w="95" w:type="dxa"/>
              <w:bottom w:w="95" w:type="dxa"/>
              <w:right w:w="95" w:type="dxa"/>
            </w:tcMar>
            <w:shd w:fill="DCE7EF"/>
            <w:tcBorders>
              <w:top w:val="single" w:sz="4" w:color="D9D9D9"/>
              <w:left w:val="single" w:sz="4" w:color="D9D9D9"/>
              <w:bottom w:val="single" w:sz="4" w:color="D9D9D9"/>
              <w:right w:val="single" w:sz="4" w:color="D9D9D9"/>
            </w:tcBorders>
          </w:tcPr>
          <w:p>
            <w:pPr>
              <w:spacing w:after="40" w:line="245" w:lineRule="auto"/>
            </w:pPr>
            <w:r>
              <w:rPr>
                <w:b/>
                <w:sz w:val="20"/>
              </w:rPr>
              <w:t>Mesure</w:t>
            </w:r>
          </w:p>
        </w:tc>
        <w:tc>
          <w:tcPr>
            <w:tcW w:type="dxa" w:w="6576"/>
            <w:vAlign w:val="center"/>
            <w:tcMar>
              <w:top w:w="95" w:type="dxa"/>
              <w:left w:w="95" w:type="dxa"/>
              <w:bottom w:w="95" w:type="dxa"/>
              <w:right w:w="95" w:type="dxa"/>
            </w:tcMar>
            <w:shd w:fill="DCE7EF"/>
            <w:tcBorders>
              <w:top w:val="single" w:sz="4" w:color="D9D9D9"/>
              <w:left w:val="single" w:sz="4" w:color="D9D9D9"/>
              <w:bottom w:val="single" w:sz="4" w:color="D9D9D9"/>
              <w:right w:val="single" w:sz="4" w:color="D9D9D9"/>
            </w:tcBorders>
          </w:tcPr>
          <w:p>
            <w:pPr>
              <w:spacing w:after="40" w:line="245" w:lineRule="auto"/>
            </w:pPr>
            <w:r>
              <w:rPr>
                <w:b/>
                <w:sz w:val="20"/>
              </w:rPr>
              <w:t>Ce que vous lisez</w:t>
            </w:r>
          </w:p>
        </w:tc>
      </w:tr>
      <w:tr>
        <w:trPr>
          <w:cantSplit/>
        </w:trPr>
        <w:tc>
          <w:tcPr>
            <w:tcW w:type="dxa" w:w="3061"/>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Couverture potentielle</w:t>
            </w:r>
          </w:p>
        </w:tc>
        <w:tc>
          <w:tcPr>
            <w:tcW w:type="dxa" w:w="657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Les disponibilités validées qui peuvent répondre au besoin.</w:t>
            </w:r>
          </w:p>
        </w:tc>
      </w:tr>
      <w:tr>
        <w:trPr>
          <w:cantSplit/>
        </w:trPr>
        <w:tc>
          <w:tcPr>
            <w:tcW w:type="dxa" w:w="3061"/>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Couverture planifiée</w:t>
            </w:r>
          </w:p>
        </w:tc>
        <w:tc>
          <w:tcPr>
            <w:tcW w:type="dxa" w:w="6576"/>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Les affectations retenues dans le brouillon. Ce chiffre ne certifie pas que la garde a été publiée.</w:t>
            </w:r>
          </w:p>
        </w:tc>
      </w:tr>
    </w:tbl>
    <w:p>
      <w:pPr>
        <w:spacing w:after="0"/>
      </w:pPr>
    </w:p>
    <w:tbl>
      <w:tblPr>
        <w:tblW w:type="auto" w:w="0"/>
        <w:jc w:val="center"/>
        <w:tblLayout w:type="fixed"/>
        <w:tblLook w:firstColumn="1" w:firstRow="1" w:lastColumn="0" w:lastRow="0" w:noHBand="0" w:noVBand="1" w:val="04A0"/>
      </w:tblPr>
      <w:tblGrid>
        <w:gridCol w:w="3061"/>
        <w:gridCol w:w="6576"/>
      </w:tblGrid>
      <w:tr>
        <w:trPr>
          <w:cantSplit/>
          <w:tblHeader/>
        </w:trPr>
        <w:tc>
          <w:tcPr>
            <w:tcW w:type="dxa" w:w="3061"/>
            <w:vAlign w:val="center"/>
            <w:tcMar>
              <w:top w:w="95" w:type="dxa"/>
              <w:left w:w="95" w:type="dxa"/>
              <w:bottom w:w="95" w:type="dxa"/>
              <w:right w:w="95" w:type="dxa"/>
            </w:tcMar>
            <w:shd w:fill="DCE7EF"/>
            <w:tcBorders>
              <w:top w:val="single" w:sz="4" w:color="D9D9D9"/>
              <w:left w:val="single" w:sz="4" w:color="D9D9D9"/>
              <w:bottom w:val="single" w:sz="4" w:color="D9D9D9"/>
              <w:right w:val="single" w:sz="4" w:color="D9D9D9"/>
            </w:tcBorders>
          </w:tcPr>
          <w:p>
            <w:pPr>
              <w:spacing w:after="40" w:line="245" w:lineRule="auto"/>
            </w:pPr>
            <w:r>
              <w:rPr>
                <w:b/>
                <w:sz w:val="20"/>
              </w:rPr>
              <w:t>État</w:t>
            </w:r>
          </w:p>
        </w:tc>
        <w:tc>
          <w:tcPr>
            <w:tcW w:type="dxa" w:w="6576"/>
            <w:vAlign w:val="center"/>
            <w:tcMar>
              <w:top w:w="95" w:type="dxa"/>
              <w:left w:w="95" w:type="dxa"/>
              <w:bottom w:w="95" w:type="dxa"/>
              <w:right w:w="95" w:type="dxa"/>
            </w:tcMar>
            <w:shd w:fill="DCE7EF"/>
            <w:tcBorders>
              <w:top w:val="single" w:sz="4" w:color="D9D9D9"/>
              <w:left w:val="single" w:sz="4" w:color="D9D9D9"/>
              <w:bottom w:val="single" w:sz="4" w:color="D9D9D9"/>
              <w:right w:val="single" w:sz="4" w:color="D9D9D9"/>
            </w:tcBorders>
          </w:tcPr>
          <w:p>
            <w:pPr>
              <w:spacing w:after="40" w:line="245" w:lineRule="auto"/>
            </w:pPr>
            <w:r>
              <w:rPr>
                <w:b/>
                <w:sz w:val="20"/>
              </w:rPr>
              <w:t>Action du gestionnaire</w:t>
            </w:r>
          </w:p>
        </w:tc>
      </w:tr>
      <w:tr>
        <w:trPr>
          <w:cantSplit/>
        </w:trPr>
        <w:tc>
          <w:tcPr>
            <w:tcW w:type="dxa" w:w="3061"/>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Besoins non définis</w:t>
            </w:r>
          </w:p>
        </w:tc>
        <w:tc>
          <w:tcPr>
            <w:tcW w:type="dxa" w:w="657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Renseigner l’effectif et les qualifications attendus.</w:t>
            </w:r>
          </w:p>
        </w:tc>
      </w:tr>
      <w:tr>
        <w:trPr>
          <w:cantSplit/>
        </w:trPr>
        <w:tc>
          <w:tcPr>
            <w:tcW w:type="dxa" w:w="3061"/>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Déficit</w:t>
            </w:r>
          </w:p>
        </w:tc>
        <w:tc>
          <w:tcPr>
            <w:tcW w:type="dxa" w:w="6576"/>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Compléter les agents ou les qualifications, et traiter les affectations devenues invalides.</w:t>
            </w:r>
          </w:p>
        </w:tc>
      </w:tr>
      <w:tr>
        <w:trPr>
          <w:cantSplit/>
        </w:trPr>
        <w:tc>
          <w:tcPr>
            <w:tcW w:type="dxa" w:w="3061"/>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Limite</w:t>
            </w:r>
          </w:p>
        </w:tc>
        <w:tc>
          <w:tcPr>
            <w:tcW w:type="dxa" w:w="6576"/>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Le besoin est atteint sans marge sur l’effectif ou sur au moins une qualification. Vérifier la fragilité de la garde.</w:t>
            </w:r>
          </w:p>
        </w:tc>
      </w:tr>
      <w:tr>
        <w:trPr>
          <w:cantSplit/>
        </w:trPr>
        <w:tc>
          <w:tcPr>
            <w:tcW w:type="dxa" w:w="3061"/>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Couvert</w:t>
            </w:r>
          </w:p>
        </w:tc>
        <w:tc>
          <w:tcPr>
            <w:tcW w:type="dxa" w:w="6576"/>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Les critères calculés sont couverts avec une marge. Vérifier encore le brouillon et sa publication.</w:t>
            </w:r>
          </w:p>
        </w:tc>
      </w:tr>
    </w:tbl>
    <w:p>
      <w:pPr>
        <w:spacing w:after="0"/>
      </w:pPr>
    </w:p>
    <w:p>
      <w:r>
        <w:rPr>
          <w:b w:val="0"/>
        </w:rPr>
        <w:t>Consultez séparément les effectifs et les qualifications : atteindre le nombre total d’agents ne garantit pas que toutes les compétences nécessaires sont présentes.</w:t>
      </w:r>
    </w:p>
    <w:p>
      <w:r>
        <w:br w:type="page"/>
      </w:r>
    </w:p>
    <w:p>
      <w:pPr>
        <w:pStyle w:val="Heading1"/>
      </w:pPr>
      <w:r>
        <w:t>Définir les besoins du mois</w:t>
      </w:r>
    </w:p>
    <w:p>
      <w:pPr>
        <w:pStyle w:val="Heading2"/>
      </w:pPr>
      <w:r>
        <w:t>Appliquer une règle à plusieurs gardes</w:t>
      </w:r>
    </w:p>
    <w:p>
      <w:pPr>
        <w:ind w:left="255" w:hanging="255"/>
      </w:pPr>
      <w:r>
        <w:rPr>
          <w:b/>
        </w:rPr>
        <w:t xml:space="preserve">1. </w:t>
      </w:r>
      <w:r>
        <w:t>Ouvrez « Besoins », puis « Appliquer à plusieurs journées ».</w:t>
      </w:r>
    </w:p>
    <w:p>
      <w:pPr>
        <w:ind w:left="255" w:hanging="255"/>
      </w:pPr>
      <w:r>
        <w:rPr>
          <w:b/>
        </w:rPr>
        <w:t xml:space="preserve">2. </w:t>
      </w:r>
      <w:r>
        <w:t>Choisissez « Tout le mois » ou « Certains jours ». Dans ce dernier cas, cochez les jours de semaine visés, par exemple samedi et dimanche.</w:t>
      </w:r>
    </w:p>
    <w:p>
      <w:pPr>
        <w:ind w:left="255" w:hanging="255"/>
      </w:pPr>
      <w:r>
        <w:rPr>
          <w:b/>
        </w:rPr>
        <w:t xml:space="preserve">3. </w:t>
      </w:r>
      <w:r>
        <w:t>Sélectionnez les créneaux concernés : Jour, Nuit, ou les deux.</w:t>
      </w:r>
    </w:p>
    <w:p>
      <w:pPr>
        <w:ind w:left="255" w:hanging="255"/>
      </w:pPr>
      <w:r>
        <w:rPr>
          <w:b/>
        </w:rPr>
        <w:t xml:space="preserve">4. </w:t>
      </w:r>
      <w:r>
        <w:t>Saisissez l’« Effectif attendu » et les « Minima par qualification ». Mettez à zéro les minima préremplis qui ne correspondent pas à votre besoin réel.</w:t>
      </w:r>
    </w:p>
    <w:p>
      <w:pPr>
        <w:ind w:left="255" w:hanging="255"/>
      </w:pPr>
      <w:r>
        <w:rPr>
          <w:b/>
        </w:rPr>
        <w:t xml:space="preserve">5. </w:t>
      </w:r>
      <w:r>
        <w:t>Relisez le nombre de journées et de créneaux concernés. Un mois de 30 jours avec Jour et Nuit représente 60 créneaux.</w:t>
      </w:r>
    </w:p>
    <w:p>
      <w:pPr>
        <w:ind w:left="255" w:hanging="255"/>
      </w:pPr>
      <w:r>
        <w:rPr>
          <w:b/>
        </w:rPr>
        <w:t xml:space="preserve">6. </w:t>
      </w:r>
      <w:r>
        <w:t>Cliquez sur « Appliquer », vérifiez le récapitulatif de remplacement, puis confirmez.</w:t>
      </w:r>
    </w:p>
    <w:p>
      <w:pPr>
        <w:ind w:left="255" w:hanging="255"/>
      </w:pPr>
      <w:r>
        <w:rPr>
          <w:b/>
        </w:rPr>
        <w:t xml:space="preserve">7. </w:t>
      </w:r>
      <w:r>
        <w:t>Contrôlez quelques journées et les exceptions dans le tableau mensuel.</w:t>
      </w:r>
    </w:p>
    <w:p>
      <w:r>
        <w:rPr>
          <w:b/>
        </w:rPr>
        <w:t>L’application en lot remplace les besoins déjà enregistrés sur les créneaux sélectionnés. Elle ne les additionne pas. En cas d’échec pendant l’opération, vérifiez les jours déjà traités avant de recommencer.</w:t>
      </w:r>
    </w:p>
    <w:p>
      <w:pPr>
        <w:pStyle w:val="Heading2"/>
      </w:pPr>
      <w:r>
        <w:t>Adapter une seule garde</w:t>
      </w:r>
    </w:p>
    <w:p>
      <w:r>
        <w:rPr>
          <w:b w:val="0"/>
        </w:rPr>
        <w:t>Cliquez sur la cellule du jour et du créneau dans « Besoins » pour ouvrir la garde. Dans « Planning », utilisez « Définir les besoins » ou le bouton « Modifier les besoins ». Modifiez l’effectif minimum et les qualifications, puis « Enregistrer les besoins ».</w:t>
      </w:r>
    </w:p>
    <w:p>
      <w:pPr>
        <w:pStyle w:val="Heading2"/>
      </w:pPr>
      <w:r>
        <w:t>Exemple de lecture des minima</w:t>
      </w:r>
    </w:p>
    <w:p>
      <w:r>
        <w:rPr>
          <w:b w:val="0"/>
        </w:rPr>
        <w:t>Exemple pédagogique : pour six agents, un minimum de trois SAP et d’un PL exige six personnes au total, dont au moins trois portent SAP et une porte PL. Un même agent peut satisfaire plusieurs minima de qualification, mais il ne compte qu’une fois dans l’effectif.</w:t>
      </w:r>
    </w:p>
    <w:p>
      <w:r>
        <w:rPr>
          <w:b w:val="0"/>
        </w:rPr>
        <w:t>Chaque minimum doit être inférieur ou égal à l’effectif attendu. La somme des minima peut le dépasser puisque plusieurs qualifications peuvent appartenir à une même personne. Le logiciel ne répartit pas automatiquement des postes exclusifs sur un engin.</w:t>
      </w:r>
    </w:p>
    <w:p>
      <w:pPr>
        <w:pStyle w:val="Heading2"/>
      </w:pPr>
      <w:r>
        <w:t>Vérifier les libellés de conduite</w:t>
      </w:r>
    </w:p>
    <w:p>
      <w:r>
        <w:rPr>
          <w:b w:val="0"/>
        </w:rPr>
        <w:t>Les choix COD SSR, PL, COD2 et COD6 sont disponibles dans les besoins même si aucun agent ne les possède encore. Un besoin « PL » compte les agents portant « PL » ; le logiciel ne déduit pas qu’un autre code le remplace.</w:t>
      </w:r>
    </w:p>
    <w:p>
      <w:r>
        <w:rPr>
          <w:b w:val="0"/>
        </w:rPr>
        <w:t>Si des anciennes fiches portent « Conducteur PL », harmonisez d’abord la règle avec votre centre. Ne remplacez pas un intitulé par un autre sans contrôler les fiches et la couverture obtenue.</w:t>
      </w:r>
    </w:p>
    <w:p>
      <w:r>
        <w:rPr>
          <w:b w:val="0"/>
        </w:rPr>
        <w:t>Un créneau sans besoin enregistré ne peut pas être publié. Les valeurs proposées à l’ouverture d’un formulaire ne deviennent des besoins qu’après enregistrement.</w:t>
      </w:r>
    </w:p>
    <w:p>
      <w:r>
        <w:br w:type="page"/>
      </w:r>
    </w:p>
    <w:p>
      <w:pPr>
        <w:pStyle w:val="Heading1"/>
      </w:pPr>
      <w:r>
        <w:t>Construire et publier le planning</w:t>
      </w:r>
    </w:p>
    <w:p>
      <w:pPr>
        <w:pStyle w:val="Heading2"/>
      </w:pPr>
      <w:r>
        <w:t>Préparer une garde</w:t>
      </w:r>
    </w:p>
    <w:p>
      <w:pPr>
        <w:ind w:left="255" w:hanging="255"/>
      </w:pPr>
      <w:r>
        <w:rPr>
          <w:b/>
        </w:rPr>
        <w:t xml:space="preserve">1. </w:t>
      </w:r>
      <w:r>
        <w:t>Ouvrez « Planning » et vérifiez la campagne.</w:t>
      </w:r>
    </w:p>
    <w:p>
      <w:pPr>
        <w:ind w:left="255" w:hanging="255"/>
      </w:pPr>
      <w:r>
        <w:rPr>
          <w:b/>
        </w:rPr>
        <w:t xml:space="preserve">2. </w:t>
      </w:r>
      <w:r>
        <w:t>Choisissez la date puis « Jour » ou « Nuit ». Relisez les horaires.</w:t>
      </w:r>
    </w:p>
    <w:p>
      <w:pPr>
        <w:ind w:left="255" w:hanging="255"/>
      </w:pPr>
      <w:r>
        <w:rPr>
          <w:b/>
        </w:rPr>
        <w:t xml:space="preserve">3. </w:t>
      </w:r>
      <w:r>
        <w:t>Dans « Agents disponibles », recherchez un nom, une qualification ou un grade. Le vivier repose sur les réponses validées pour ce créneau.</w:t>
      </w:r>
    </w:p>
    <w:p>
      <w:pPr>
        <w:ind w:left="255" w:hanging="255"/>
      </w:pPr>
      <w:r>
        <w:rPr>
          <w:b/>
        </w:rPr>
        <w:t xml:space="preserve">4. </w:t>
      </w:r>
      <w:r>
        <w:t>Cliquez sur le bouton + de chaque agent retenu. Il apparaît dans « Agents affectés ». Le brouillon est enregistré à chaque modification.</w:t>
      </w:r>
    </w:p>
    <w:p>
      <w:pPr>
        <w:ind w:left="255" w:hanging="255"/>
      </w:pPr>
      <w:r>
        <w:rPr>
          <w:b/>
        </w:rPr>
        <w:t xml:space="preserve">5. </w:t>
      </w:r>
      <w:r>
        <w:t>Pour retirer une affectation, utilisez le bouton de retrait de sa carte.</w:t>
      </w:r>
    </w:p>
    <w:p>
      <w:pPr>
        <w:ind w:left="255" w:hanging="255"/>
      </w:pPr>
      <w:r>
        <w:rPr>
          <w:b/>
        </w:rPr>
        <w:t xml:space="preserve">6. </w:t>
      </w:r>
      <w:r>
        <w:t>Contrôlez « Besoins de la garde » : effectif, qualifications et éventuels avertissements. Consultez « Répartition des gardes » pour apprécier la charge du mois.</w:t>
      </w:r>
    </w:p>
    <w:p>
      <w:r>
        <w:rPr>
          <w:b w:val="0"/>
        </w:rPr>
        <w:t>Dans la répartition, « 24 h » signifie que l’agent tient Jour et Nuit à la même date. Le total compte des créneaux : une garde de 24 h vaut donc deux créneaux.</w:t>
      </w:r>
    </w:p>
    <w:p>
      <w:pPr>
        <w:pStyle w:val="Heading2"/>
      </w:pPr>
      <w:r>
        <w:t>Publier explicitement</w:t>
      </w:r>
    </w:p>
    <w:p>
      <w:pPr>
        <w:ind w:left="255" w:hanging="255"/>
      </w:pPr>
      <w:r>
        <w:rPr>
          <w:b/>
        </w:rPr>
        <w:t xml:space="preserve">1. </w:t>
      </w:r>
      <w:r>
        <w:t>Vérifiez les noms, la date, le créneau et les besoins une dernière fois.</w:t>
      </w:r>
    </w:p>
    <w:p>
      <w:pPr>
        <w:ind w:left="255" w:hanging="255"/>
      </w:pPr>
      <w:r>
        <w:rPr>
          <w:b/>
        </w:rPr>
        <w:t xml:space="preserve">2. </w:t>
      </w:r>
      <w:r>
        <w:t>Cliquez sur « Publier ce créneau ».</w:t>
      </w:r>
    </w:p>
    <w:p>
      <w:pPr>
        <w:ind w:left="255" w:hanging="255"/>
      </w:pPr>
      <w:r>
        <w:rPr>
          <w:b/>
        </w:rPr>
        <w:t xml:space="preserve">3. </w:t>
      </w:r>
      <w:r>
        <w:t>Relisez la fenêtre « Publier cette garde », puis cliquez sur « Confirmer la publication ».</w:t>
      </w:r>
    </w:p>
    <w:p>
      <w:pPr>
        <w:ind w:left="255" w:hanging="255"/>
      </w:pPr>
      <w:r>
        <w:rPr>
          <w:b/>
        </w:rPr>
        <w:t xml:space="preserve">4. </w:t>
      </w:r>
      <w:r>
        <w:t>Vérifiez la mention « Version … publiée ». Les agents concernés voient cette version dans leur planning personnel.</w:t>
      </w:r>
    </w:p>
    <w:p>
      <w:pPr>
        <w:ind w:left="255" w:hanging="255"/>
      </w:pPr>
      <w:r>
        <w:rPr>
          <w:b/>
        </w:rPr>
        <w:t xml:space="preserve">5. </w:t>
      </w:r>
      <w:r>
        <w:t>Recommencez pour chaque autre date et pour le second créneau si nécessaire.</w:t>
      </w:r>
    </w:p>
    <w:p>
      <w:r>
        <w:rPr>
          <w:b/>
        </w:rPr>
        <w:t>La publication porte sur un seul créneau. Il n’existe pas dans cet écran de publication automatique de tout le mois.</w:t>
      </w:r>
    </w:p>
    <w:p>
      <w:pPr>
        <w:pStyle w:val="Heading2"/>
      </w:pPr>
      <w:r>
        <w:t>Modifier une garde déjà publiée</w:t>
      </w:r>
    </w:p>
    <w:p>
      <w:r>
        <w:rPr>
          <w:b w:val="0"/>
        </w:rPr>
        <w:t>Changez les affectations du brouillon. L’avertissement « Le brouillon a changé » rappelle que les agents voient encore l’ancienne version. Une nouvelle publication est nécessaire pour leur transmettre la nouvelle composition.</w:t>
      </w:r>
    </w:p>
    <w:p>
      <w:r>
        <w:rPr>
          <w:b w:val="0"/>
        </w:rPr>
        <w:t>Un agent retiré d’une version publiée reçoit une information de modification, sous réserve des règles de notification et de son statut. La présence d’un message ne garantit pas sa lecture : pour une modification urgente, utilisez également le moyen de contact prévu par votre centre.</w:t>
      </w:r>
    </w:p>
    <w:p>
      <w:pPr>
        <w:pStyle w:val="Heading2"/>
      </w:pPr>
      <w:r>
        <w:t>Si le bouton de publication est indisponible</w:t>
      </w:r>
    </w:p>
    <w:p>
      <w:r>
        <w:rPr>
          <w:b w:val="0"/>
        </w:rPr>
        <w:t>Vérifiez les besoins manquants, l’effectif, les qualifications et les agents devenus inéligibles : réponse non validée, disponibilité modifiée, agent désactivé ou désistement accepté. Retirez ou remplacez les affectations signalées. Si la version est déjà publiée à l’identique, il n’est pas nécessaire de la republier.</w:t>
      </w:r>
    </w:p>
    <w:p>
      <w:r>
        <w:br w:type="page"/>
      </w:r>
    </w:p>
    <w:p>
      <w:pPr>
        <w:pStyle w:val="Heading1"/>
      </w:pPr>
      <w:r>
        <w:t>Traiter un désistement</w:t>
      </w:r>
    </w:p>
    <w:p>
      <w:r>
        <w:rPr>
          <w:b w:val="0"/>
        </w:rPr>
        <w:t>Une demande de désistement concerne une garde déjà publiée. Le gestionnaire doit rendre une décision puis, si la demande est acceptée, reprendre le planning. Le compteur « Demandes » attire l’attention sur les décisions en attente.</w:t>
      </w:r>
    </w:p>
    <w:p>
      <w:pPr>
        <w:pStyle w:val="Heading2"/>
      </w:pPr>
      <w:r>
        <w:t>Décider sur la demande</w:t>
      </w:r>
    </w:p>
    <w:p>
      <w:pPr>
        <w:ind w:left="255" w:hanging="255"/>
      </w:pPr>
      <w:r>
        <w:rPr>
          <w:b/>
        </w:rPr>
        <w:t xml:space="preserve">1. </w:t>
      </w:r>
      <w:r>
        <w:t>Ouvrez « Demandes » et lisez la section « En attente ».</w:t>
      </w:r>
    </w:p>
    <w:p>
      <w:pPr>
        <w:ind w:left="255" w:hanging="255"/>
      </w:pPr>
      <w:r>
        <w:rPr>
          <w:b/>
        </w:rPr>
        <w:t xml:space="preserve">2. </w:t>
      </w:r>
      <w:r>
        <w:t>Vérifiez l’agent, la date, le créneau et le motif. Contactez l’agent si une précision opérationnelle est nécessaire.</w:t>
      </w:r>
    </w:p>
    <w:p>
      <w:pPr>
        <w:ind w:left="255" w:hanging="255"/>
      </w:pPr>
      <w:r>
        <w:rPr>
          <w:b/>
        </w:rPr>
        <w:t xml:space="preserve">3. </w:t>
      </w:r>
      <w:r>
        <w:t>Choisissez « Accepter » ou « Refuser », puis relisez et confirmez la décision.</w:t>
      </w:r>
    </w:p>
    <w:p>
      <w:r>
        <w:rPr>
          <w:b w:val="0"/>
        </w:rPr>
        <w:t>Accepter signifie que l’agent n’est plus attendu sur cette garde et qu’il en est informé. Refuser signifie qu’il reste attendu. La décision enregistrée ne se reprend pas par un simple bouton d’annulation ; un agent peut déposer une nouvelle demande après un refus.</w:t>
      </w:r>
    </w:p>
    <w:p>
      <w:pPr>
        <w:pStyle w:val="Heading2"/>
      </w:pPr>
      <w:r>
        <w:t>Après une acceptation</w:t>
      </w:r>
    </w:p>
    <w:p>
      <w:pPr>
        <w:ind w:left="255" w:hanging="255"/>
      </w:pPr>
      <w:r>
        <w:rPr>
          <w:b/>
        </w:rPr>
        <w:t xml:space="preserve">1. </w:t>
      </w:r>
      <w:r>
        <w:t>Suivez « Ouvrir la garde » depuis la demande concernée, ou retrouvez précisément la campagne, la date et le créneau dans « Planning ».</w:t>
      </w:r>
    </w:p>
    <w:p>
      <w:pPr>
        <w:ind w:left="255" w:hanging="255"/>
      </w:pPr>
      <w:r>
        <w:rPr>
          <w:b/>
        </w:rPr>
        <w:t xml:space="preserve">2. </w:t>
      </w:r>
      <w:r>
        <w:t>Retirez du brouillon l’agent dont le désistement a été accepté.</w:t>
      </w:r>
    </w:p>
    <w:p>
      <w:pPr>
        <w:ind w:left="255" w:hanging="255"/>
      </w:pPr>
      <w:r>
        <w:rPr>
          <w:b/>
        </w:rPr>
        <w:t xml:space="preserve">3. </w:t>
      </w:r>
      <w:r>
        <w:t>Choisissez un remplaçant disponible avec une réponse validée.</w:t>
      </w:r>
    </w:p>
    <w:p>
      <w:pPr>
        <w:ind w:left="255" w:hanging="255"/>
      </w:pPr>
      <w:r>
        <w:rPr>
          <w:b/>
        </w:rPr>
        <w:t xml:space="preserve">4. </w:t>
      </w:r>
      <w:r>
        <w:t>Contrôlez à nouveau les effectifs et toutes les qualifications.</w:t>
      </w:r>
    </w:p>
    <w:p>
      <w:pPr>
        <w:ind w:left="255" w:hanging="255"/>
      </w:pPr>
      <w:r>
        <w:rPr>
          <w:b/>
        </w:rPr>
        <w:t xml:space="preserve">5. </w:t>
      </w:r>
      <w:r>
        <w:t>Publiez le créneau modifié et vérifiez la nouvelle version.</w:t>
      </w:r>
    </w:p>
    <w:p>
      <w:r>
        <w:rPr>
          <w:b/>
        </w:rPr>
        <w:t>Accepter un désistement ne choisit aucun remplaçant et ne republie pas le planning. Tant que la situation n’est pas régularisée, l’écran peut afficher « Toujours au planning publié — le remplacement reste à faire ».</w:t>
      </w:r>
    </w:p>
    <w:p>
      <w:pPr>
        <w:pStyle w:val="Heading2"/>
      </w:pPr>
      <w:r>
        <w:t>Si le même agent redevient disponible</w:t>
      </w:r>
    </w:p>
    <w:p>
      <w:r>
        <w:rPr>
          <w:b w:val="0"/>
        </w:rPr>
        <w:t>Le vivier peut afficher « Désistement accepté sur cette garde ». Avant de le réaffecter, confirmez avec lui qu’il peut à nouveau assurer la garde. Retirez si nécessaire son ancienne affectation, affectez-le à nouveau, puis publiez : il s’agit d’une nouvelle décision de planning.</w:t>
      </w:r>
    </w:p>
    <w:p>
      <w:r>
        <w:rPr>
          <w:b w:val="0"/>
        </w:rPr>
        <w:t>L’écran des demandes conserve la trace de l’acceptation initiale et peut préciser « Réaffecté depuis ». Cette indication permet de comprendre pourquoi un ancien désistement accepté ne libère plus l’agent de la version nouvellement publiée.</w:t>
      </w:r>
    </w:p>
    <w:p>
      <w:pPr>
        <w:pStyle w:val="Heading2"/>
      </w:pPr>
      <w:r>
        <w:t>En cas de remplacement urgent</w:t>
      </w:r>
    </w:p>
    <w:p>
      <w:r>
        <w:rPr>
          <w:b w:val="0"/>
        </w:rPr>
        <w:t>Ne vous contentez pas d’une notification envoyée. Vérifiez l’information du remplaçant par le canal habituel du centre. Gardez les motifs saisis brefs et utiles à l’organisation ; évitez d’y consigner des détails médicaux ou familiaux.</w:t>
      </w:r>
    </w:p>
    <w:p>
      <w:r>
        <w:br w:type="page"/>
      </w:r>
    </w:p>
    <w:p>
      <w:pPr>
        <w:pStyle w:val="Heading1"/>
      </w:pPr>
      <w:r>
        <w:t>Recevoir les notifications sur téléphone</w:t>
      </w:r>
    </w:p>
    <w:p>
      <w:pPr>
        <w:pStyle w:val="Heading2"/>
      </w:pPr>
      <w:r>
        <w:t>Lire les messages dans DispoSP</w:t>
      </w:r>
    </w:p>
    <w:p>
      <w:r>
        <w:rPr>
          <w:b w:val="0"/>
        </w:rPr>
        <w:t>La cloche du bandeau ouvre « Notifications ». Le badge indique les messages non lus parmi ceux chargés. Utilisez « Marquer comme lu » ou « Tout marquer comme lu » après consultation. Cet écran montre les messages récents ; il ne constitue pas l’historique complet des actions du centre.</w:t>
      </w:r>
    </w:p>
    <w:p>
      <w:r>
        <w:rPr>
          <w:b w:val="0"/>
        </w:rPr>
        <w:t>Le panneau « Notifications sur cet appareil » est accessible depuis cet écran. Il est également présent dans « Mon profil ». Pour un gestionnaire, la cloche est le chemin le plus direct.</w:t>
      </w:r>
    </w:p>
    <w:p>
      <w:pPr>
        <w:pStyle w:val="Heading2"/>
      </w:pPr>
      <w:r>
        <w:t>Activer sur cet appareil</w:t>
      </w:r>
    </w:p>
    <w:p>
      <w:pPr>
        <w:ind w:left="255" w:hanging="255"/>
      </w:pPr>
      <w:r>
        <w:rPr>
          <w:b/>
        </w:rPr>
        <w:t xml:space="preserve">1. </w:t>
      </w:r>
      <w:r>
        <w:t>Ouvrez DispoSP sur le téléphone qui doit recevoir les alertes et connectez-vous avec votre compte.</w:t>
      </w:r>
    </w:p>
    <w:p>
      <w:pPr>
        <w:ind w:left="255" w:hanging="255"/>
      </w:pPr>
      <w:r>
        <w:rPr>
          <w:b/>
        </w:rPr>
        <w:t xml:space="preserve">2. </w:t>
      </w:r>
      <w:r>
        <w:t>Ouvrez la cloche, puis le panneau « Notifications sur cet appareil ».</w:t>
      </w:r>
    </w:p>
    <w:p>
      <w:pPr>
        <w:ind w:left="255" w:hanging="255"/>
      </w:pPr>
      <w:r>
        <w:rPr>
          <w:b/>
        </w:rPr>
        <w:t xml:space="preserve">3. </w:t>
      </w:r>
      <w:r>
        <w:t>Cliquez sur « Activer les notifications » et acceptez la demande d’autorisation du téléphone ou du navigateur.</w:t>
      </w:r>
    </w:p>
    <w:p>
      <w:pPr>
        <w:ind w:left="255" w:hanging="255"/>
      </w:pPr>
      <w:r>
        <w:rPr>
          <w:b/>
        </w:rPr>
        <w:t xml:space="preserve">4. </w:t>
      </w:r>
      <w:r>
        <w:t>Vérifiez la mention « Actives sur cet appareil ».</w:t>
      </w:r>
    </w:p>
    <w:p>
      <w:pPr>
        <w:ind w:left="255" w:hanging="255"/>
      </w:pPr>
      <w:r>
        <w:rPr>
          <w:b/>
        </w:rPr>
        <w:t xml:space="preserve">5. </w:t>
      </w:r>
      <w:r>
        <w:t>Cliquez sur « Envoyer un essai » et vérifiez la réception sur le téléphone.</w:t>
      </w:r>
    </w:p>
    <w:p>
      <w:r>
        <w:rPr>
          <w:b w:val="0"/>
        </w:rPr>
        <w:t>L’activation se fait appareil par appareil. Activer sur un ordinateur n’active pas le téléphone. Les anciens messages ne sont pas renvoyés lors de l’activation.</w:t>
      </w:r>
    </w:p>
    <w:p>
      <w:pPr>
        <w:pStyle w:val="Heading2"/>
      </w:pPr>
      <w:r>
        <w:t>Installer sur iPhone ou iPad</w:t>
      </w:r>
    </w:p>
    <w:p>
      <w:r>
        <w:rPr>
          <w:b w:val="0"/>
        </w:rPr>
        <w:t>Ouvrez DispoSP dans Safari, touchez « Partager », puis « Sur l’écran d’accueil ». Lancez ensuite DispoSP depuis sa nouvelle icône, reconnectez-vous si nécessaire et activez les notifications depuis l’application installée. Utilisez un appareil et une version du système compatibles avec les notifications web.</w:t>
      </w:r>
    </w:p>
    <w:p>
      <w:pPr>
        <w:pStyle w:val="Heading2"/>
      </w:pPr>
      <w:r>
        <w:t>Installer sur Android ou ordinateur</w:t>
      </w:r>
    </w:p>
    <w:p>
      <w:r>
        <w:rPr>
          <w:b w:val="0"/>
        </w:rPr>
        <w:t>Utilisez le bouton « Installer l’application » lorsqu’il est proposé, ou l’option d’installation du navigateur. Si le bouton n’apparaît pas, poursuivez dans le navigateur compatible ; l’absence du bouton ne signifie pas que vos données sont perdues.</w:t>
      </w:r>
    </w:p>
    <w:p>
      <w:pPr>
        <w:pStyle w:val="Heading2"/>
      </w:pPr>
      <w:r>
        <w:t>Si aucune alerte ne parvient</w:t>
      </w:r>
    </w:p>
    <w:p>
      <w:r>
        <w:rPr>
          <w:b w:val="0"/>
        </w:rPr>
        <w:t>Vérifiez le compte connecté, la connexion réseau, les autorisations de notification et les modes silencieux du téléphone. Si DispoSP indique « Le navigateur les a bloquées », rouvrez l’autorisation dans les réglages du navigateur ou de l’appareil, puis revenez faire un essai.</w:t>
      </w:r>
    </w:p>
    <w:p>
      <w:r>
        <w:rPr>
          <w:b w:val="0"/>
        </w:rPr>
        <w:t>Les alertes sur écran verrouillé restent volontairement générales. Ouvrez DispoSP pour lire le détail. Les emails et les notifications téléphone dépendent de services distincts : une absence d’alerte ne prouve pas une absence de changement.</w:t>
      </w:r>
    </w:p>
    <w:p>
      <w:r>
        <w:rPr>
          <w:b w:val="0"/>
        </w:rPr>
        <w:t>Sur un appareil partagé, évitez d’activer les notifications personnelles. Déconnectez-vous en fin d’utilisation. L’installation n’offre pas de consultation hors ligne des plannings.</w:t>
      </w:r>
    </w:p>
    <w:p>
      <w:r>
        <w:br w:type="page"/>
      </w:r>
    </w:p>
    <w:p>
      <w:pPr>
        <w:pStyle w:val="Heading1"/>
      </w:pPr>
      <w:r>
        <w:t>Exporter et vérifier votre travail</w:t>
      </w:r>
    </w:p>
    <w:p>
      <w:pPr>
        <w:pStyle w:val="Heading2"/>
      </w:pPr>
      <w:r>
        <w:t>Choisir le bon export</w:t>
      </w:r>
    </w:p>
    <w:tbl>
      <w:tblPr>
        <w:tblW w:type="auto" w:w="0"/>
        <w:jc w:val="center"/>
        <w:tblLayout w:type="fixed"/>
        <w:tblLook w:firstColumn="1" w:firstRow="1" w:lastColumn="0" w:lastRow="0" w:noHBand="0" w:noVBand="1" w:val="04A0"/>
      </w:tblPr>
      <w:tblGrid>
        <w:gridCol w:w="3005"/>
        <w:gridCol w:w="6633"/>
      </w:tblGrid>
      <w:tr>
        <w:trPr>
          <w:cantSplit/>
          <w:tblHeader/>
        </w:trPr>
        <w:tc>
          <w:tcPr>
            <w:tcW w:type="dxa" w:w="3005"/>
            <w:vAlign w:val="center"/>
            <w:tcMar>
              <w:top w:w="95" w:type="dxa"/>
              <w:left w:w="95" w:type="dxa"/>
              <w:bottom w:w="95" w:type="dxa"/>
              <w:right w:w="95" w:type="dxa"/>
            </w:tcMar>
            <w:shd w:fill="DCE7EF"/>
            <w:tcBorders>
              <w:top w:val="single" w:sz="4" w:color="D9D9D9"/>
              <w:left w:val="single" w:sz="4" w:color="D9D9D9"/>
              <w:bottom w:val="single" w:sz="4" w:color="D9D9D9"/>
              <w:right w:val="single" w:sz="4" w:color="D9D9D9"/>
            </w:tcBorders>
          </w:tcPr>
          <w:p>
            <w:pPr>
              <w:spacing w:after="40" w:line="245" w:lineRule="auto"/>
            </w:pPr>
            <w:r>
              <w:rPr>
                <w:b/>
                <w:sz w:val="20"/>
              </w:rPr>
              <w:t>Commande</w:t>
            </w:r>
          </w:p>
        </w:tc>
        <w:tc>
          <w:tcPr>
            <w:tcW w:type="dxa" w:w="6633"/>
            <w:vAlign w:val="center"/>
            <w:tcMar>
              <w:top w:w="95" w:type="dxa"/>
              <w:left w:w="95" w:type="dxa"/>
              <w:bottom w:w="95" w:type="dxa"/>
              <w:right w:w="95" w:type="dxa"/>
            </w:tcMar>
            <w:shd w:fill="DCE7EF"/>
            <w:tcBorders>
              <w:top w:val="single" w:sz="4" w:color="D9D9D9"/>
              <w:left w:val="single" w:sz="4" w:color="D9D9D9"/>
              <w:bottom w:val="single" w:sz="4" w:color="D9D9D9"/>
              <w:right w:val="single" w:sz="4" w:color="D9D9D9"/>
            </w:tcBorders>
          </w:tcPr>
          <w:p>
            <w:pPr>
              <w:spacing w:after="40" w:line="245" w:lineRule="auto"/>
            </w:pPr>
            <w:r>
              <w:rPr>
                <w:b/>
                <w:sz w:val="20"/>
              </w:rPr>
              <w:t>Contenu et précaution</w:t>
            </w:r>
          </w:p>
        </w:tc>
      </w:tr>
      <w:tr>
        <w:trPr>
          <w:cantSplit/>
        </w:trPr>
        <w:tc>
          <w:tcPr>
            <w:tcW w:type="dxa" w:w="3005"/>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Exporter en Excel</w:t>
            </w:r>
          </w:p>
        </w:tc>
        <w:tc>
          <w:tcPr>
            <w:tcW w:type="dxa" w:w="6633"/>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Depuis Disponibilités : classeur de la campagne avec disponibilités, synthèse, couverture, planning et statistiques. Les filtres de la vue ne limitent pas cet export.</w:t>
            </w:r>
          </w:p>
        </w:tc>
      </w:tr>
      <w:tr>
        <w:trPr>
          <w:cantSplit/>
        </w:trPr>
        <w:tc>
          <w:tcPr>
            <w:tcW w:type="dxa" w:w="3005"/>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Exporter la vue CSV</w:t>
            </w:r>
          </w:p>
        </w:tc>
        <w:tc>
          <w:tcPr>
            <w:tcW w:type="dxa" w:w="6633"/>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Depuis Disponibilités : données des agents retenus par les filtres de la vue.</w:t>
            </w:r>
          </w:p>
        </w:tc>
      </w:tr>
      <w:tr>
        <w:trPr>
          <w:cantSplit/>
        </w:trPr>
        <w:tc>
          <w:tcPr>
            <w:tcW w:type="dxa" w:w="3005"/>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Imprimer le mois ou Imprimer</w:t>
            </w:r>
          </w:p>
        </w:tc>
        <w:tc>
          <w:tcPr>
            <w:tcW w:type="dxa" w:w="6633"/>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Matrice mensuelle ou journée affichée. Utilisez l’aperçu, puis l’imprimante ou « Enregistrer au format PDF ».</w:t>
            </w:r>
          </w:p>
        </w:tc>
      </w:tr>
      <w:tr>
        <w:trPr>
          <w:cantSplit/>
        </w:trPr>
        <w:tc>
          <w:tcPr>
            <w:tcW w:type="dxa" w:w="3005"/>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Exporter le journal</w:t>
            </w:r>
          </w:p>
        </w:tc>
        <w:tc>
          <w:tcPr>
            <w:tcW w:type="dxa" w:w="6633"/>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Depuis Historique : uniquement les actions chargées correspondant aux filtres, et non tout l’historique.</w:t>
            </w:r>
          </w:p>
        </w:tc>
      </w:tr>
    </w:tbl>
    <w:p>
      <w:pPr>
        <w:spacing w:after="0"/>
      </w:pPr>
    </w:p>
    <w:p>
      <w:r>
        <w:rPr>
          <w:b w:val="0"/>
        </w:rPr>
        <w:t>Un export est une photographie à sa date de création. Il ne se met pas à jour après une republication. Dans Excel, distinguez bien les colonnes de couverture du brouillon et les informations publiées. Partagez les fichiers uniquement avec les destinataires habilités.</w:t>
      </w:r>
    </w:p>
    <w:p>
      <w:pPr>
        <w:pStyle w:val="Heading2"/>
      </w:pPr>
      <w:r>
        <w:t>Consulter les statistiques et les traces</w:t>
      </w:r>
    </w:p>
    <w:p>
      <w:r>
        <w:rPr>
          <w:b w:val="0"/>
        </w:rPr>
        <w:t>« Statistiques » propose les vues par mois, par jour de semaine et par agent. Les gardes comptées sont déduites des publications et des désistements : ce ne sont pas des pointages de présence. La vue par agent porte sur la période chargée des douze derniers mois.</w:t>
      </w:r>
    </w:p>
    <w:p>
      <w:r>
        <w:rPr>
          <w:b w:val="0"/>
        </w:rPr>
        <w:t>« Historique » se filtre par sujet, auteur, recherche et période. L’écran charge au plus les 200 dernières actions : une recherche ancienne vide ne prouve pas qu’aucune action n’a eu lieu.</w:t>
      </w:r>
    </w:p>
    <w:p>
      <w:pPr>
        <w:pStyle w:val="Heading2"/>
      </w:pPr>
      <w:r>
        <w:t>Aide rapide</w:t>
      </w:r>
    </w:p>
    <w:tbl>
      <w:tblPr>
        <w:tblW w:type="auto" w:w="0"/>
        <w:jc w:val="center"/>
        <w:tblLayout w:type="fixed"/>
        <w:tblLook w:firstColumn="1" w:firstRow="1" w:lastColumn="0" w:lastRow="0" w:noHBand="0" w:noVBand="1" w:val="04A0"/>
      </w:tblPr>
      <w:tblGrid>
        <w:gridCol w:w="3005"/>
        <w:gridCol w:w="6633"/>
      </w:tblGrid>
      <w:tr>
        <w:trPr>
          <w:cantSplit/>
          <w:tblHeader/>
        </w:trPr>
        <w:tc>
          <w:tcPr>
            <w:tcW w:type="dxa" w:w="3005"/>
            <w:vAlign w:val="center"/>
            <w:tcMar>
              <w:top w:w="95" w:type="dxa"/>
              <w:left w:w="95" w:type="dxa"/>
              <w:bottom w:w="95" w:type="dxa"/>
              <w:right w:w="95" w:type="dxa"/>
            </w:tcMar>
            <w:shd w:fill="DCE7EF"/>
            <w:tcBorders>
              <w:top w:val="single" w:sz="4" w:color="D9D9D9"/>
              <w:left w:val="single" w:sz="4" w:color="D9D9D9"/>
              <w:bottom w:val="single" w:sz="4" w:color="D9D9D9"/>
              <w:right w:val="single" w:sz="4" w:color="D9D9D9"/>
            </w:tcBorders>
          </w:tcPr>
          <w:p>
            <w:pPr>
              <w:spacing w:after="40" w:line="245" w:lineRule="auto"/>
            </w:pPr>
            <w:r>
              <w:rPr>
                <w:b/>
                <w:sz w:val="20"/>
              </w:rPr>
              <w:t>Difficulté</w:t>
            </w:r>
          </w:p>
        </w:tc>
        <w:tc>
          <w:tcPr>
            <w:tcW w:type="dxa" w:w="6633"/>
            <w:vAlign w:val="center"/>
            <w:tcMar>
              <w:top w:w="95" w:type="dxa"/>
              <w:left w:w="95" w:type="dxa"/>
              <w:bottom w:w="95" w:type="dxa"/>
              <w:right w:w="95" w:type="dxa"/>
            </w:tcMar>
            <w:shd w:fill="DCE7EF"/>
            <w:tcBorders>
              <w:top w:val="single" w:sz="4" w:color="D9D9D9"/>
              <w:left w:val="single" w:sz="4" w:color="D9D9D9"/>
              <w:bottom w:val="single" w:sz="4" w:color="D9D9D9"/>
              <w:right w:val="single" w:sz="4" w:color="D9D9D9"/>
            </w:tcBorders>
          </w:tcPr>
          <w:p>
            <w:pPr>
              <w:spacing w:after="40" w:line="245" w:lineRule="auto"/>
            </w:pPr>
            <w:r>
              <w:rPr>
                <w:b/>
                <w:sz w:val="20"/>
              </w:rPr>
              <w:t>Vérification à faire</w:t>
            </w:r>
          </w:p>
        </w:tc>
      </w:tr>
      <w:tr>
        <w:trPr>
          <w:cantSplit/>
        </w:trPr>
        <w:tc>
          <w:tcPr>
            <w:tcW w:type="dxa" w:w="3005"/>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Un agent manque au vivier</w:t>
            </w:r>
          </w:p>
        </w:tc>
        <w:tc>
          <w:tcPr>
            <w:tcW w:type="dxa" w:w="6633"/>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Bonne campagne, compte actif, réponse validée et disponibilité sur ce créneau ; enlever les filtres de recherche.</w:t>
            </w:r>
          </w:p>
        </w:tc>
      </w:tr>
      <w:tr>
        <w:trPr>
          <w:cantSplit/>
        </w:trPr>
        <w:tc>
          <w:tcPr>
            <w:tcW w:type="dxa" w:w="3005"/>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Un agent ne voit pas sa garde</w:t>
            </w:r>
          </w:p>
        </w:tc>
        <w:tc>
          <w:tcPr>
            <w:tcW w:type="dxa" w:w="6633"/>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Vérifier la publication du bon Jour ou de la bonne Nuit, puis le compte et la campagne consultés.</w:t>
            </w:r>
          </w:p>
        </w:tc>
      </w:tr>
      <w:tr>
        <w:trPr>
          <w:cantSplit/>
        </w:trPr>
        <w:tc>
          <w:tcPr>
            <w:tcW w:type="dxa" w:w="3005"/>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Le planning ne reflète pas ma modification</w:t>
            </w:r>
          </w:p>
        </w:tc>
        <w:tc>
          <w:tcPr>
            <w:tcW w:type="dxa" w:w="6633"/>
            <w:vAlign w:val="center"/>
            <w:tcMar>
              <w:top w:w="95" w:type="dxa"/>
              <w:left w:w="95" w:type="dxa"/>
              <w:bottom w:w="95" w:type="dxa"/>
              <w:right w:w="95" w:type="dxa"/>
            </w:tcMar>
            <w:shd w:fill="FFFFFF"/>
            <w:tcBorders>
              <w:top w:val="single" w:sz="4" w:color="D9D9D9"/>
              <w:left w:val="single" w:sz="4" w:color="D9D9D9"/>
              <w:bottom w:val="single" w:sz="4" w:color="D9D9D9"/>
              <w:right w:val="single" w:sz="4" w:color="D9D9D9"/>
            </w:tcBorders>
          </w:tcPr>
          <w:p>
            <w:pPr>
              <w:spacing w:after="40" w:line="245" w:lineRule="auto"/>
            </w:pPr>
            <w:r>
              <w:rPr>
                <w:b w:val="0"/>
                <w:sz w:val="20"/>
              </w:rPr>
              <w:t>Le brouillon a-t-il été republié ? Actualiser l’écran et attendre la fin du chargement.</w:t>
            </w:r>
          </w:p>
        </w:tc>
      </w:tr>
      <w:tr>
        <w:trPr>
          <w:cantSplit/>
        </w:trPr>
        <w:tc>
          <w:tcPr>
            <w:tcW w:type="dxa" w:w="3005"/>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Un problème persiste</w:t>
            </w:r>
          </w:p>
        </w:tc>
        <w:tc>
          <w:tcPr>
            <w:tcW w:type="dxa" w:w="6633"/>
            <w:vAlign w:val="center"/>
            <w:tcMar>
              <w:top w:w="95" w:type="dxa"/>
              <w:left w:w="95" w:type="dxa"/>
              <w:bottom w:w="95" w:type="dxa"/>
              <w:right w:w="95" w:type="dxa"/>
            </w:tcMar>
            <w:shd w:fill="F5F7F9"/>
            <w:tcBorders>
              <w:top w:val="single" w:sz="4" w:color="D9D9D9"/>
              <w:left w:val="single" w:sz="4" w:color="D9D9D9"/>
              <w:bottom w:val="single" w:sz="4" w:color="D9D9D9"/>
              <w:right w:val="single" w:sz="4" w:color="D9D9D9"/>
            </w:tcBorders>
          </w:tcPr>
          <w:p>
            <w:pPr>
              <w:spacing w:after="40" w:line="245" w:lineRule="auto"/>
            </w:pPr>
            <w:r>
              <w:rPr>
                <w:b w:val="0"/>
                <w:sz w:val="20"/>
              </w:rPr>
              <w:t>Relever l’heure, l’écran, la campagne, la date, le créneau et le message exact, puis contacter le référent du centre.</w:t>
            </w:r>
          </w:p>
        </w:tc>
      </w:tr>
    </w:tbl>
    <w:p>
      <w:pPr>
        <w:spacing w:after="0"/>
      </w:pPr>
    </w:p>
    <w:p>
      <w:pPr>
        <w:pStyle w:val="Heading2"/>
      </w:pPr>
      <w:r>
        <w:t>Avant de terminer une session</w:t>
      </w:r>
    </w:p>
    <w:p>
      <w:r>
        <w:rPr>
          <w:b w:val="0"/>
        </w:rPr>
        <w:t>Contrôlez les demandes en attente, les déficits restant à traiter et les brouillons modifiés non republiés. Vérifiez que les personnes concernées par une modification urgente ont été informées. Fermez les exports contenant des données personnelles et déconnectez-vous des appareils partagés.</w:t>
      </w:r>
    </w:p>
    <w:sectPr w:rsidR="00FC693F" w:rsidRPr="0006063C" w:rsidSect="00034616">
      <w:footerReference w:type="default" r:id="rId9"/>
      <w:pgSz w:w="11906" w:h="16838"/>
      <w:pgMar w:top="964" w:right="1134" w:bottom="964"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DispoSP • Guide gestionnaires • 8 octobre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line="259" w:lineRule="auto"/>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8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59"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line="259" w:lineRule="auto" w:before="0"/>
    </w:pPr>
    <w:rPr>
      <w:rFonts w:asciiTheme="majorHAnsi" w:eastAsiaTheme="majorEastAsia" w:hAnsiTheme="majorHAnsi" w:cstheme="majorBidi" w:ascii="Calibri" w:hAnsi="Calibri"/>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DispoSP Guide de prise en main des gestionnaires</dc:title>
  <dc:subject>Préparer les campagnes et publier les plannings</dc:subject>
  <dc:creator>DispoSP</dc:creator>
  <cp:keywords>DispoSP, gestionnaire, guide, planning, disponibilités</cp:keywords>
  <dc:description>generated by python-docx</dc:description>
  <cp:lastModifiedBy/>
  <cp:revision>1</cp:revision>
  <dcterms:created xsi:type="dcterms:W3CDTF">2013-12-23T23:15:00Z</dcterms:created>
  <dcterms:modified xsi:type="dcterms:W3CDTF">2013-12-23T23:15:00Z</dcterms:modified>
  <cp:category/>
</cp:coreProperties>
</file>