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Cahier des charges fonctionnel et réglementaire</w:t>
      </w:r>
    </w:p>
    <w:p>
      <w:pPr>
        <w:pStyle w:val="Heading2"/>
        <w:jc w:val="center"/>
      </w:pPr>
      <w:r>
        <w:t xml:space="preserve">Simulateur de retraite des sapeurs-pompiers professionnels (SPP)</w:t>
      </w:r>
    </w:p>
    <w:p/>
    <w:p>
      <w:pPr>
        <w:pStyle w:val="Heading2"/>
      </w:pPr>
      <w:r>
        <w:t xml:space="preserve">1. Contexte et justification</w:t>
      </w:r>
    </w:p>
    <w:p>
      <w:pPr>
        <w:spacing w:after="200"/>
      </w:pPr>
      <w:r>
        <w:t xml:space="preserve">Les sapeurs-pompiers professionnels (SPP) relèvent d'un régime de retraite complexe, combinant :</w:t>
      </w:r>
    </w:p>
    <w:p>
      <w:pPr>
        <w:pStyle w:val="ListParagraph"/>
        <w:numPr>
          <w:ilvl w:val="0"/>
          <w:numId w:val="2"/>
        </w:numPr>
      </w:pPr>
      <w:r>
        <w:t xml:space="preserve">un statut de fonctionnaire territorial relevant de la CNRACL,</w:t>
      </w:r>
    </w:p>
    <w:p>
      <w:pPr>
        <w:pStyle w:val="ListParagraph"/>
        <w:numPr>
          <w:ilvl w:val="0"/>
          <w:numId w:val="2"/>
        </w:numPr>
      </w:pPr>
      <w:r>
        <w:t xml:space="preserve">une classification en catégorie active,</w:t>
      </w:r>
    </w:p>
    <w:p>
      <w:pPr>
        <w:pStyle w:val="ListParagraph"/>
        <w:numPr>
          <w:ilvl w:val="0"/>
          <w:numId w:val="2"/>
        </w:numPr>
      </w:pPr>
      <w:r>
        <w:t xml:space="preserve">des bonifications et majorations spécifiques,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pour certains agents, un double statut SPP / SPV.</w:t>
      </w:r>
    </w:p>
    <w:p>
      <w:pPr>
        <w:spacing w:after="200"/>
      </w:pPr>
      <w:r>
        <w:t xml:space="preserve">Les évolutions réglementaires récentes, notamment le décret n°2026-18 du 20 janvier 2026 relatif à la prise en compte de l'engagement de sapeur-pompier volontaire (SPV), accentuent la difficulté pour les agents et les services RH à anticiper de manière fiable les conditions de départ à la retraite.</w:t>
      </w:r>
    </w:p>
    <w:p>
      <w:pPr>
        <w:spacing w:after="200"/>
      </w:pPr>
      <w:r>
        <w:t xml:space="preserve">Il n'existe à ce jour aucun outil institutionnel simple, fiable et transparent permettant aux SPP et aux SDIS d'effectuer des simulations compréhensibles et juridiquement sécurisées.</w:t>
      </w:r>
    </w:p>
    <w:p>
      <w:pPr>
        <w:spacing w:after="200"/>
      </w:pPr>
      <w:r>
        <w:t xml:space="preserve">Le présent projet vise à concevoir un outil numérique de simulation de retraite destiné aux SPP, utilisable tant à titre individuel que dans un cadre RH SDIS.</w:t>
      </w:r>
    </w:p>
    <w:p>
      <w:pPr>
        <w:pStyle w:val="Heading2"/>
      </w:pPr>
      <w:r>
        <w:t xml:space="preserve">2. Objectifs de l'outil</w:t>
      </w:r>
    </w:p>
    <w:p>
      <w:pPr>
        <w:pStyle w:val="Heading3"/>
      </w:pPr>
      <w:r>
        <w:t xml:space="preserve">2.1 Objectif principal</w:t>
      </w:r>
    </w:p>
    <w:p>
      <w:pPr>
        <w:spacing w:after="200"/>
      </w:pPr>
      <w:r>
        <w:t xml:space="preserve">Fournir un </w:t>
      </w:r>
      <w:r>
        <w:rPr>
          <w:b/>
          <w:bCs/>
        </w:rPr>
        <w:t xml:space="preserve">outil d'aide à la décision</w:t>
      </w:r>
      <w:r>
        <w:t xml:space="preserve">, indicatif et non contractuel, permettant d'estimer :</w:t>
      </w:r>
    </w:p>
    <w:p>
      <w:pPr>
        <w:pStyle w:val="ListParagraph"/>
        <w:numPr>
          <w:ilvl w:val="0"/>
          <w:numId w:val="2"/>
        </w:numPr>
      </w:pPr>
      <w:r>
        <w:t xml:space="preserve">la ou les dates possibles de départ à la retraite,</w:t>
      </w:r>
    </w:p>
    <w:p>
      <w:pPr>
        <w:pStyle w:val="ListParagraph"/>
        <w:numPr>
          <w:ilvl w:val="0"/>
          <w:numId w:val="2"/>
        </w:numPr>
      </w:pPr>
      <w:r>
        <w:t xml:space="preserve">le taux de liquidation applicable,</w:t>
      </w:r>
    </w:p>
    <w:p>
      <w:pPr>
        <w:pStyle w:val="ListParagraph"/>
        <w:numPr>
          <w:ilvl w:val="0"/>
          <w:numId w:val="2"/>
        </w:numPr>
      </w:pPr>
      <w:r>
        <w:t xml:space="preserve">le montant estimatif de la pension,</w:t>
      </w:r>
    </w:p>
    <w:p>
      <w:pPr>
        <w:pStyle w:val="ListParagraph"/>
        <w:numPr>
          <w:ilvl w:val="0"/>
          <w:numId w:val="2"/>
        </w:numPr>
      </w:pPr>
      <w:r>
        <w:t xml:space="preserve">l'impact du double statut SPP / SPV,</w:t>
      </w:r>
    </w:p>
    <w:p>
      <w:pPr>
        <w:pStyle w:val="ListParagraph"/>
        <w:numPr>
          <w:ilvl w:val="0"/>
          <w:numId w:val="2"/>
        </w:numPr>
      </w:pPr>
      <w:r>
        <w:t xml:space="preserve">l'impact de la PFR sur la pension,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l'impact de la NBI sur la pension.</w:t>
      </w:r>
    </w:p>
    <w:p>
      <w:pPr>
        <w:pStyle w:val="Heading3"/>
      </w:pPr>
      <w:r>
        <w:t xml:space="preserve">2.2 Objectifs secondaires</w:t>
      </w:r>
    </w:p>
    <w:p>
      <w:pPr>
        <w:pStyle w:val="ListParagraph"/>
        <w:numPr>
          <w:ilvl w:val="0"/>
          <w:numId w:val="2"/>
        </w:numPr>
      </w:pPr>
      <w:r>
        <w:t xml:space="preserve">Améliorer la lisibilité des règles de retraite applicables aux SPP</w:t>
      </w:r>
    </w:p>
    <w:p>
      <w:pPr>
        <w:pStyle w:val="ListParagraph"/>
        <w:numPr>
          <w:ilvl w:val="0"/>
          <w:numId w:val="2"/>
        </w:numPr>
      </w:pPr>
      <w:r>
        <w:t xml:space="preserve">Faciliter l'anticipation des fins de carrière</w:t>
      </w:r>
    </w:p>
    <w:p>
      <w:pPr>
        <w:pStyle w:val="ListParagraph"/>
        <w:numPr>
          <w:ilvl w:val="0"/>
          <w:numId w:val="2"/>
        </w:numPr>
      </w:pPr>
      <w:r>
        <w:t xml:space="preserve">Outiller les services RH et GPEEC des SDIS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Harmoniser les simulations internes</w:t>
      </w:r>
    </w:p>
    <w:p>
      <w:pPr>
        <w:pStyle w:val="Heading2"/>
      </w:pPr>
      <w:r>
        <w:t xml:space="preserve">3. Périmètre fonctionnel</w:t>
      </w:r>
    </w:p>
    <w:p>
      <w:pPr>
        <w:pStyle w:val="Heading3"/>
      </w:pPr>
      <w:r>
        <w:t xml:space="preserve">Inclus</w:t>
      </w:r>
    </w:p>
    <w:p>
      <w:pPr>
        <w:pStyle w:val="ListParagraph"/>
        <w:numPr>
          <w:ilvl w:val="0"/>
          <w:numId w:val="2"/>
        </w:numPr>
      </w:pPr>
      <w:r>
        <w:t xml:space="preserve">SPP territoriaux relevant de la CNRACL</w:t>
      </w:r>
    </w:p>
    <w:p>
      <w:pPr>
        <w:pStyle w:val="ListParagraph"/>
        <w:numPr>
          <w:ilvl w:val="0"/>
          <w:numId w:val="2"/>
        </w:numPr>
      </w:pPr>
      <w:r>
        <w:t xml:space="preserve">Catégorie active</w:t>
      </w:r>
    </w:p>
    <w:p>
      <w:pPr>
        <w:pStyle w:val="ListParagraph"/>
        <w:numPr>
          <w:ilvl w:val="0"/>
          <w:numId w:val="2"/>
        </w:numPr>
      </w:pPr>
      <w:r>
        <w:t xml:space="preserve">Carrières complètes ou en cours</w:t>
      </w:r>
    </w:p>
    <w:p>
      <w:pPr>
        <w:pStyle w:val="ListParagraph"/>
        <w:numPr>
          <w:ilvl w:val="0"/>
          <w:numId w:val="2"/>
        </w:numPr>
      </w:pPr>
      <w:r>
        <w:t xml:space="preserve">Double statut SPP / SPV</w:t>
      </w:r>
    </w:p>
    <w:p>
      <w:pPr>
        <w:pStyle w:val="ListParagraph"/>
        <w:numPr>
          <w:ilvl w:val="0"/>
          <w:numId w:val="2"/>
        </w:numPr>
      </w:pPr>
      <w:r>
        <w:t xml:space="preserve">Intégration de la PFR</w:t>
      </w:r>
    </w:p>
    <w:p>
      <w:pPr>
        <w:pStyle w:val="ListParagraph"/>
        <w:numPr>
          <w:ilvl w:val="0"/>
          <w:numId w:val="2"/>
        </w:numPr>
      </w:pPr>
      <w:r>
        <w:t xml:space="preserve">Intégration de la NBI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BSPP, BMPM, UIISC</w:t>
      </w:r>
    </w:p>
    <w:p>
      <w:pPr>
        <w:pStyle w:val="Heading3"/>
      </w:pPr>
      <w:r>
        <w:t xml:space="preserve">Exclus (version initiale)</w:t>
      </w:r>
    </w:p>
    <w:p>
      <w:pPr>
        <w:pStyle w:val="ListParagraph"/>
        <w:numPr>
          <w:ilvl w:val="0"/>
          <w:numId w:val="2"/>
        </w:numPr>
      </w:pPr>
      <w:r>
        <w:t xml:space="preserve">Carrières multi-régimes complexes (au-delà de la majoration SPV)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Calcul contractuel opposable</w:t>
      </w:r>
    </w:p>
    <w:p>
      <w:pPr>
        <w:pStyle w:val="Heading2"/>
      </w:pPr>
      <w:r>
        <w:t xml:space="preserve">4. Références réglementaires</w:t>
      </w:r>
    </w:p>
    <w:p>
      <w:pPr>
        <w:spacing w:after="200"/>
      </w:pPr>
      <w:r>
        <w:t xml:space="preserve">L'outil devra s'appuyer exclusivement sur des textes issus de Légifrance, notamment :</w:t>
      </w:r>
    </w:p>
    <w:p>
      <w:pPr>
        <w:pStyle w:val="ListParagraph"/>
        <w:numPr>
          <w:ilvl w:val="0"/>
          <w:numId w:val="2"/>
        </w:numPr>
      </w:pPr>
      <w:r>
        <w:t xml:space="preserve">Code des pensions civiles et militaires de retraite</w:t>
      </w:r>
    </w:p>
    <w:p>
      <w:pPr>
        <w:pStyle w:val="ListParagraph"/>
        <w:numPr>
          <w:ilvl w:val="0"/>
          <w:numId w:val="2"/>
        </w:numPr>
      </w:pPr>
      <w:r>
        <w:t xml:space="preserve">Code de la sécurité sociale (durée d'assurance)</w:t>
      </w:r>
    </w:p>
    <w:p>
      <w:pPr>
        <w:pStyle w:val="ListParagraph"/>
        <w:numPr>
          <w:ilvl w:val="0"/>
          <w:numId w:val="2"/>
        </w:numPr>
      </w:pPr>
      <w:r>
        <w:t xml:space="preserve">Textes relatifs à la CNRACL</w:t>
      </w:r>
    </w:p>
    <w:p>
      <w:pPr>
        <w:pStyle w:val="ListParagraph"/>
        <w:numPr>
          <w:ilvl w:val="0"/>
          <w:numId w:val="2"/>
        </w:numPr>
      </w:pPr>
      <w:r>
        <w:t xml:space="preserve">Textes relatifs à la catégorie active des SPP</w:t>
      </w:r>
    </w:p>
    <w:p>
      <w:pPr>
        <w:pStyle w:val="ListParagraph"/>
        <w:numPr>
          <w:ilvl w:val="0"/>
          <w:numId w:val="2"/>
        </w:numPr>
      </w:pPr>
      <w:r>
        <w:t xml:space="preserve">Décret relatif à la PFR</w:t>
      </w:r>
    </w:p>
    <w:p>
      <w:pPr>
        <w:pStyle w:val="ListParagraph"/>
        <w:numPr>
          <w:ilvl w:val="0"/>
          <w:numId w:val="2"/>
        </w:numPr>
      </w:pPr>
      <w:r>
        <w:t xml:space="preserve">Décret n°2006-779 du 3 juillet 2006 relatif à la NBI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Décret n°2026-18 du 20 janvier 2026 (majoration SPV)</w:t>
      </w:r>
    </w:p>
    <w:p>
      <w:pPr>
        <w:spacing w:after="200"/>
      </w:pPr>
      <w:r>
        <w:t xml:space="preserve">Chaque module de calcul devra pouvoir être rattaché explicitement à un ou plusieurs articles réglementaires.</w:t>
      </w:r>
    </w:p>
    <w:p>
      <w:pPr>
        <w:pStyle w:val="Heading2"/>
      </w:pPr>
      <w:r>
        <w:t xml:space="preserve">5. Description fonctionnelle détaillée</w:t>
      </w:r>
    </w:p>
    <w:p>
      <w:pPr>
        <w:pStyle w:val="Heading3"/>
      </w:pPr>
      <w:r>
        <w:t xml:space="preserve">5.1 Module 1 – Saisie du profil agent</w:t>
      </w:r>
    </w:p>
    <w:p>
      <w:pPr>
        <w:spacing w:after="100"/>
      </w:pPr>
      <w:r>
        <w:rPr>
          <w:b/>
          <w:bCs/>
        </w:rPr>
        <w:t xml:space="preserve">Données obligatoires</w:t>
      </w:r>
    </w:p>
    <w:p>
      <w:pPr>
        <w:pStyle w:val="ListParagraph"/>
        <w:numPr>
          <w:ilvl w:val="0"/>
          <w:numId w:val="2"/>
        </w:numPr>
      </w:pPr>
      <w:r>
        <w:t xml:space="preserve">Année de naissance</w:t>
      </w:r>
    </w:p>
    <w:p>
      <w:pPr>
        <w:pStyle w:val="ListParagraph"/>
        <w:numPr>
          <w:ilvl w:val="0"/>
          <w:numId w:val="2"/>
        </w:numPr>
      </w:pPr>
      <w:r>
        <w:t xml:space="preserve">Date d'entrée en qualité de SPP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Temps de travail (temps plein / temps partiel)</w:t>
      </w:r>
    </w:p>
    <w:p>
      <w:pPr>
        <w:spacing w:after="100"/>
      </w:pPr>
      <w:r>
        <w:rPr>
          <w:b/>
          <w:bCs/>
        </w:rPr>
        <w:t xml:space="preserve">Données SPV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Nombre d'années d'engagement SPV reconnues</w:t>
      </w:r>
    </w:p>
    <w:p>
      <w:pPr>
        <w:spacing w:after="200"/>
      </w:pPr>
      <w:r>
        <w:t xml:space="preserve">Le système calcule automatiquement la majoration de durée d'assurance liée au volontariat :</w:t>
      </w:r>
    </w:p>
    <w:p>
      <w:pPr>
        <w:pStyle w:val="ListParagraph"/>
        <w:numPr>
          <w:ilvl w:val="0"/>
          <w:numId w:val="2"/>
        </w:numPr>
      </w:pPr>
      <w:r>
        <w:t xml:space="preserve">≥ 10 ans : +1 trimestre</w:t>
      </w:r>
    </w:p>
    <w:p>
      <w:pPr>
        <w:pStyle w:val="ListParagraph"/>
        <w:numPr>
          <w:ilvl w:val="0"/>
          <w:numId w:val="2"/>
        </w:numPr>
      </w:pPr>
      <w:r>
        <w:t xml:space="preserve">≥ 20 ans : +2 trimestres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≥ 25 ans : +3 trimestres</w:t>
      </w:r>
    </w:p>
    <w:p>
      <w:pPr>
        <w:pStyle w:val="Heading3"/>
      </w:pPr>
      <w:r>
        <w:t xml:space="preserve">5.2 Module 2 – Durée d'assurance et services</w:t>
      </w:r>
    </w:p>
    <w:p>
      <w:pPr>
        <w:spacing w:after="200"/>
      </w:pPr>
      <w:r>
        <w:t xml:space="preserve">Calcul distinct et explicite de :</w:t>
      </w:r>
    </w:p>
    <w:p>
      <w:pPr>
        <w:pStyle w:val="ListParagraph"/>
        <w:numPr>
          <w:ilvl w:val="0"/>
          <w:numId w:val="2"/>
        </w:numPr>
      </w:pPr>
      <w:r>
        <w:t xml:space="preserve">la durée de services effectifs SPP</w:t>
      </w:r>
    </w:p>
    <w:p>
      <w:pPr>
        <w:pStyle w:val="ListParagraph"/>
        <w:numPr>
          <w:ilvl w:val="0"/>
          <w:numId w:val="2"/>
        </w:numPr>
      </w:pPr>
      <w:r>
        <w:t xml:space="preserve">les trimestres cotisés</w:t>
      </w:r>
    </w:p>
    <w:p>
      <w:pPr>
        <w:pStyle w:val="ListParagraph"/>
        <w:numPr>
          <w:ilvl w:val="0"/>
          <w:numId w:val="2"/>
        </w:numPr>
      </w:pPr>
      <w:r>
        <w:t xml:space="preserve">les bonifications réglementaires éventuelles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la durée d'assurance totale tous régimes confondus</w:t>
      </w:r>
    </w:p>
    <w:p>
      <w:pPr>
        <w:spacing w:after="200"/>
      </w:pPr>
      <w:r>
        <w:t xml:space="preserve">Affichage clair de l'écart éventuel avec la durée requise pour le taux plein.</w:t>
      </w:r>
    </w:p>
    <w:p>
      <w:pPr>
        <w:pStyle w:val="Heading3"/>
      </w:pPr>
      <w:r>
        <w:t xml:space="preserve">5.3 Module 3 – Âges et dates de départ</w:t>
      </w:r>
    </w:p>
    <w:p>
      <w:pPr>
        <w:spacing w:after="200"/>
      </w:pPr>
      <w:r>
        <w:t xml:space="preserve">Calcul et affichage des éléments suivants :</w:t>
      </w:r>
    </w:p>
    <w:p>
      <w:pPr>
        <w:pStyle w:val="ListParagraph"/>
        <w:numPr>
          <w:ilvl w:val="0"/>
          <w:numId w:val="2"/>
        </w:numPr>
      </w:pPr>
      <w:r>
        <w:t xml:space="preserve">âge légal d'ouverture des droits (catégorie active)</w:t>
      </w:r>
    </w:p>
    <w:p>
      <w:pPr>
        <w:pStyle w:val="ListParagraph"/>
        <w:numPr>
          <w:ilvl w:val="0"/>
          <w:numId w:val="2"/>
        </w:numPr>
      </w:pPr>
      <w:r>
        <w:t xml:space="preserve">date de départ possible</w:t>
      </w:r>
    </w:p>
    <w:p>
      <w:pPr>
        <w:pStyle w:val="ListParagraph"/>
        <w:numPr>
          <w:ilvl w:val="0"/>
          <w:numId w:val="2"/>
        </w:numPr>
      </w:pPr>
      <w:r>
        <w:t xml:space="preserve">date d'atteinte du taux plein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âge du taux plein automatique</w:t>
      </w:r>
    </w:p>
    <w:p>
      <w:pPr>
        <w:spacing w:after="200"/>
      </w:pPr>
      <w:r>
        <w:t xml:space="preserve">Présentation de plusieurs scénarios :</w:t>
      </w:r>
    </w:p>
    <w:p>
      <w:pPr>
        <w:pStyle w:val="ListParagraph"/>
        <w:numPr>
          <w:ilvl w:val="0"/>
          <w:numId w:val="2"/>
        </w:numPr>
      </w:pPr>
      <w:r>
        <w:t xml:space="preserve">départ au plus tôt</w:t>
      </w:r>
    </w:p>
    <w:p>
      <w:pPr>
        <w:pStyle w:val="ListParagraph"/>
        <w:numPr>
          <w:ilvl w:val="0"/>
          <w:numId w:val="2"/>
        </w:numPr>
      </w:pPr>
      <w:r>
        <w:t xml:space="preserve">départ au taux plein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départ optimisé</w:t>
      </w:r>
    </w:p>
    <w:p>
      <w:pPr>
        <w:pStyle w:val="Heading3"/>
      </w:pPr>
      <w:r>
        <w:t xml:space="preserve">5.4 Module 4 – Calcul de la pension CNRACL</w:t>
      </w:r>
    </w:p>
    <w:p>
      <w:pPr>
        <w:spacing w:after="200"/>
      </w:pPr>
      <w:r>
        <w:t xml:space="preserve">Calcul de la pension selon la formule réglementaire :</w:t>
      </w:r>
    </w:p>
    <w:p>
      <w:pPr>
        <w:spacing w:after="200"/>
        <w:jc w:val="center"/>
      </w:pPr>
      <w:r>
        <w:rPr>
          <w:i/>
          <w:iCs/>
        </w:rPr>
        <w:t xml:space="preserve">Pension = Traitement indiciaire brut × taux de liquidation</w:t>
      </w:r>
    </w:p>
    <w:p>
      <w:pPr>
        <w:spacing w:after="200"/>
      </w:pPr>
      <w:r>
        <w:t xml:space="preserve">Éléments pris en compte :</w:t>
      </w:r>
    </w:p>
    <w:p>
      <w:pPr>
        <w:pStyle w:val="ListParagraph"/>
        <w:numPr>
          <w:ilvl w:val="0"/>
          <w:numId w:val="2"/>
        </w:numPr>
      </w:pPr>
      <w:r>
        <w:t xml:space="preserve">indice détenu durant les six derniers mois</w:t>
      </w:r>
    </w:p>
    <w:p>
      <w:pPr>
        <w:pStyle w:val="ListParagraph"/>
        <w:numPr>
          <w:ilvl w:val="0"/>
          <w:numId w:val="2"/>
        </w:numPr>
      </w:pPr>
      <w:r>
        <w:t xml:space="preserve">plafond réglementaire de 75 %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application éventuelle de la décote ou de la surcote</w:t>
      </w:r>
    </w:p>
    <w:p>
      <w:pPr>
        <w:spacing w:after="200"/>
      </w:pPr>
      <w:r>
        <w:t xml:space="preserve">Affichage pédagogique des paramètres de calcul.</w:t>
      </w:r>
    </w:p>
    <w:p>
      <w:pPr>
        <w:pStyle w:val="Heading3"/>
      </w:pPr>
      <w:r>
        <w:t xml:space="preserve">5.5 Module 5 – Prise en compte de la PFR</w:t>
      </w:r>
    </w:p>
    <w:p>
      <w:pPr>
        <w:spacing w:after="200"/>
      </w:pPr>
      <w:r>
        <w:t xml:space="preserve">Modes de saisie :</w:t>
      </w:r>
    </w:p>
    <w:p>
      <w:pPr>
        <w:pStyle w:val="ListParagraph"/>
        <w:numPr>
          <w:ilvl w:val="0"/>
          <w:numId w:val="2"/>
        </w:numPr>
      </w:pPr>
      <w:r>
        <w:t xml:space="preserve">montant annuel moyen global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ou détail par part fixe et part variable</w:t>
      </w:r>
    </w:p>
    <w:p>
      <w:pPr>
        <w:spacing w:after="200"/>
      </w:pPr>
      <w:r>
        <w:t xml:space="preserve">Affichage distinct :</w:t>
      </w:r>
    </w:p>
    <w:p>
      <w:pPr>
        <w:pStyle w:val="ListParagraph"/>
        <w:numPr>
          <w:ilvl w:val="0"/>
          <w:numId w:val="2"/>
        </w:numPr>
      </w:pPr>
      <w:r>
        <w:t xml:space="preserve">pension hors PFR</w:t>
      </w:r>
    </w:p>
    <w:p>
      <w:pPr>
        <w:pStyle w:val="ListParagraph"/>
        <w:numPr>
          <w:ilvl w:val="0"/>
          <w:numId w:val="2"/>
        </w:numPr>
      </w:pPr>
      <w:r>
        <w:t xml:space="preserve">pension avec PFR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poids de la PFR dans la pension totale</w:t>
      </w:r>
    </w:p>
    <w:p>
      <w:pPr>
        <w:spacing w:after="200"/>
      </w:pPr>
      <w:r>
        <w:t xml:space="preserve">Mention explicite du caractère non garanti de l'intégration de la PFR.</w:t>
      </w:r>
    </w:p>
    <w:p>
      <w:pPr>
        <w:pStyle w:val="Heading3"/>
      </w:pPr>
      <w:r>
        <w:t xml:space="preserve">5.6 Module 6 – Prise en compte de la NBI</w:t>
      </w:r>
    </w:p>
    <w:p>
      <w:pPr>
        <w:spacing w:after="200"/>
      </w:pPr>
      <w:r>
        <w:t xml:space="preserve">La Nouvelle Bonification Indiciaire (NBI) constitue un complément de rémunération pris en compte pour le calcul de la pension CNRACL, sous conditions de durée de perception.</w:t>
      </w:r>
    </w:p>
    <w:p>
      <w:pPr>
        <w:spacing w:after="100"/>
      </w:pPr>
      <w:r>
        <w:rPr>
          <w:b/>
          <w:bCs/>
        </w:rPr>
        <w:t xml:space="preserve">Données de saisie</w:t>
      </w:r>
    </w:p>
    <w:p>
      <w:pPr>
        <w:pStyle w:val="ListParagraph"/>
        <w:numPr>
          <w:ilvl w:val="0"/>
          <w:numId w:val="2"/>
        </w:numPr>
      </w:pPr>
      <w:r>
        <w:t xml:space="preserve">Nombre de points NBI perçus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Durée de perception de la NBI (en années)</w:t>
      </w:r>
    </w:p>
    <w:p>
      <w:pPr>
        <w:spacing w:after="100"/>
      </w:pPr>
      <w:r>
        <w:rPr>
          <w:b/>
          <w:bCs/>
        </w:rPr>
        <w:t xml:space="preserve">Règles de calcul</w:t>
      </w:r>
    </w:p>
    <w:p>
      <w:pPr>
        <w:spacing w:after="200"/>
      </w:pPr>
      <w:r>
        <w:t xml:space="preserve">La NBI ouvre droit à un supplément de pension calculé selon la formule :</w:t>
      </w:r>
    </w:p>
    <w:p>
      <w:pPr>
        <w:spacing w:after="200"/>
        <w:jc w:val="center"/>
      </w:pPr>
      <w:r>
        <w:rPr>
          <w:i/>
          <w:iCs/>
        </w:rPr>
        <w:t xml:space="preserve">Supplément NBI = (Moyenne des points NBI × Valeur du point) × (Durée NBI / Durée de services)</w:t>
      </w:r>
    </w:p>
    <w:p>
      <w:pPr>
        <w:spacing w:after="200"/>
      </w:pPr>
      <w:r>
        <w:t xml:space="preserve">Conditions : la NBI doit avoir été perçue pendant au moins 1 an pour ouvrir droit au supplément de pension.</w:t>
      </w:r>
    </w:p>
    <w:p>
      <w:pPr>
        <w:spacing w:after="100"/>
      </w:pPr>
      <w:r>
        <w:rPr>
          <w:b/>
          <w:bCs/>
        </w:rPr>
        <w:t xml:space="preserve">Affichage</w:t>
      </w:r>
    </w:p>
    <w:p>
      <w:pPr>
        <w:pStyle w:val="ListParagraph"/>
        <w:numPr>
          <w:ilvl w:val="0"/>
          <w:numId w:val="2"/>
        </w:numPr>
      </w:pPr>
      <w:r>
        <w:t xml:space="preserve">pension hors NBI</w:t>
      </w:r>
    </w:p>
    <w:p>
      <w:pPr>
        <w:pStyle w:val="ListParagraph"/>
        <w:numPr>
          <w:ilvl w:val="0"/>
          <w:numId w:val="2"/>
        </w:numPr>
      </w:pPr>
      <w:r>
        <w:t xml:space="preserve">supplément de pension lié à la NBI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pension totale avec NBI</w:t>
      </w:r>
    </w:p>
    <w:p>
      <w:pPr>
        <w:pStyle w:val="Heading3"/>
      </w:pPr>
      <w:r>
        <w:t xml:space="preserve">5.7 Module 7 – Calcul de la surcote</w:t>
      </w:r>
    </w:p>
    <w:p>
      <w:pPr>
        <w:spacing w:after="200"/>
      </w:pPr>
      <w:r>
        <w:t xml:space="preserve">La surcote est une majoration de pension accordée aux agents qui continuent à travailler au-delà de l'âge légal et de la durée d'assurance requise pour le taux plein.</w:t>
      </w:r>
    </w:p>
    <w:p>
      <w:pPr>
        <w:spacing w:after="100"/>
      </w:pPr>
      <w:r>
        <w:rPr>
          <w:b/>
          <w:bCs/>
        </w:rPr>
        <w:t xml:space="preserve">Conditions d'application</w:t>
      </w:r>
    </w:p>
    <w:p>
      <w:pPr>
        <w:pStyle w:val="ListParagraph"/>
        <w:numPr>
          <w:ilvl w:val="0"/>
          <w:numId w:val="2"/>
        </w:numPr>
      </w:pPr>
      <w:r>
        <w:t xml:space="preserve">avoir atteint l'âge légal d'ouverture des droits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avoir acquis la durée d'assurance requise pour le taux plein</w:t>
      </w:r>
    </w:p>
    <w:p>
      <w:pPr>
        <w:spacing w:after="100"/>
      </w:pPr>
      <w:r>
        <w:rPr>
          <w:b/>
          <w:bCs/>
        </w:rPr>
        <w:t xml:space="preserve">Taux de surcote</w:t>
      </w:r>
    </w:p>
    <w:p>
      <w:pPr>
        <w:spacing w:after="200"/>
      </w:pPr>
      <w:r>
        <w:t xml:space="preserve">Le taux de surcote est de 1,25 % par trimestre supplémentaire accompli au-delà des conditions requises, soit 5 % par année complète.</w:t>
      </w:r>
    </w:p>
    <w:p>
      <w:pPr>
        <w:spacing w:after="100"/>
      </w:pPr>
      <w:r>
        <w:rPr>
          <w:b/>
          <w:bCs/>
        </w:rPr>
        <w:t xml:space="preserve">Affichage</w:t>
      </w:r>
    </w:p>
    <w:p>
      <w:pPr>
        <w:pStyle w:val="ListParagraph"/>
        <w:numPr>
          <w:ilvl w:val="0"/>
          <w:numId w:val="2"/>
        </w:numPr>
      </w:pPr>
      <w:r>
        <w:t xml:space="preserve">nombre de trimestres de surcote potentiels</w:t>
      </w:r>
    </w:p>
    <w:p>
      <w:pPr>
        <w:pStyle w:val="ListParagraph"/>
        <w:numPr>
          <w:ilvl w:val="0"/>
          <w:numId w:val="2"/>
        </w:numPr>
      </w:pPr>
      <w:r>
        <w:t xml:space="preserve">taux de surcote applicable</w:t>
      </w:r>
    </w:p>
    <w:p>
      <w:pPr>
        <w:pStyle w:val="ListParagraph"/>
        <w:numPr>
          <w:ilvl w:val="0"/>
          <w:numId w:val="2"/>
        </w:numPr>
      </w:pPr>
      <w:r>
        <w:t xml:space="preserve">montant de la majoration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comparaison pension avec/sans surcote</w:t>
      </w:r>
    </w:p>
    <w:p>
      <w:pPr>
        <w:spacing w:after="200"/>
      </w:pPr>
      <w:r>
        <w:t xml:space="preserve">Le module permet de simuler l'impact d'un prolongement d'activité sur le montant de la pension.</w:t>
      </w:r>
    </w:p>
    <w:p>
      <w:pPr>
        <w:pStyle w:val="Heading2"/>
      </w:pPr>
      <w:r>
        <w:t xml:space="preserve">6. Restitution des résultats</w:t>
      </w:r>
    </w:p>
    <w:p>
      <w:pPr>
        <w:pStyle w:val="Heading3"/>
      </w:pPr>
      <w:r>
        <w:t xml:space="preserve">6.1 Affichage utilisateur</w:t>
      </w:r>
    </w:p>
    <w:p>
      <w:pPr>
        <w:pStyle w:val="ListParagraph"/>
        <w:numPr>
          <w:ilvl w:val="0"/>
          <w:numId w:val="2"/>
        </w:numPr>
      </w:pPr>
      <w:r>
        <w:t xml:space="preserve">tableau récapitulatif synthétique</w:t>
      </w:r>
    </w:p>
    <w:p>
      <w:pPr>
        <w:pStyle w:val="ListParagraph"/>
        <w:numPr>
          <w:ilvl w:val="0"/>
          <w:numId w:val="2"/>
        </w:numPr>
      </w:pPr>
      <w:r>
        <w:t xml:space="preserve">indicateurs visuels (taux plein atteint ou non, surcote applicable)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graphiques comparatifs selon la date de départ</w:t>
      </w:r>
    </w:p>
    <w:p>
      <w:pPr>
        <w:pStyle w:val="Heading3"/>
      </w:pPr>
      <w:r>
        <w:t xml:space="preserve">6.2 Export</w:t>
      </w:r>
    </w:p>
    <w:p>
      <w:pPr>
        <w:pStyle w:val="ListParagraph"/>
        <w:numPr>
          <w:ilvl w:val="0"/>
          <w:numId w:val="2"/>
        </w:numPr>
      </w:pPr>
      <w:r>
        <w:t xml:space="preserve">génération d'un document PDF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intégration automatique des avertissements réglementaires</w:t>
      </w:r>
    </w:p>
    <w:p>
      <w:pPr>
        <w:pStyle w:val="Heading2"/>
      </w:pPr>
      <w:r>
        <w:t xml:space="preserve">7. Exigences juridiques et de conformité</w:t>
      </w:r>
    </w:p>
    <w:p>
      <w:pPr>
        <w:pStyle w:val="ListParagraph"/>
        <w:numPr>
          <w:ilvl w:val="0"/>
          <w:numId w:val="2"/>
        </w:numPr>
      </w:pPr>
      <w:r>
        <w:t xml:space="preserve">Outil strictement indicatif</w:t>
      </w:r>
    </w:p>
    <w:p>
      <w:pPr>
        <w:pStyle w:val="ListParagraph"/>
        <w:numPr>
          <w:ilvl w:val="0"/>
          <w:numId w:val="2"/>
        </w:numPr>
      </w:pPr>
      <w:r>
        <w:t xml:space="preserve">Absence de conservation des données personnelles</w:t>
      </w:r>
    </w:p>
    <w:p>
      <w:pPr>
        <w:pStyle w:val="ListParagraph"/>
        <w:numPr>
          <w:ilvl w:val="0"/>
          <w:numId w:val="2"/>
        </w:numPr>
      </w:pPr>
      <w:r>
        <w:t xml:space="preserve">Avertissement juridique obligatoire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Non substitution aux calculs officiels de la CNRACL</w:t>
      </w:r>
    </w:p>
    <w:p>
      <w:pPr>
        <w:pStyle w:val="Heading2"/>
      </w:pPr>
      <w:r>
        <w:t xml:space="preserve">8. Exigences techniques</w:t>
      </w:r>
    </w:p>
    <w:p>
      <w:pPr>
        <w:pStyle w:val="ListParagraph"/>
        <w:numPr>
          <w:ilvl w:val="0"/>
          <w:numId w:val="2"/>
        </w:numPr>
      </w:pPr>
      <w:r>
        <w:t xml:space="preserve">Application web autonome</w:t>
      </w:r>
    </w:p>
    <w:p>
      <w:pPr>
        <w:pStyle w:val="ListParagraph"/>
        <w:numPr>
          <w:ilvl w:val="0"/>
          <w:numId w:val="2"/>
        </w:numPr>
      </w:pPr>
      <w:r>
        <w:t xml:space="preserve">HTML / CSS / JavaScript sans framework ni dépendances externes</w:t>
      </w:r>
    </w:p>
    <w:p>
      <w:pPr>
        <w:pStyle w:val="ListParagraph"/>
        <w:numPr>
          <w:ilvl w:val="0"/>
          <w:numId w:val="2"/>
        </w:numPr>
      </w:pPr>
      <w:r>
        <w:t xml:space="preserve">Moteur de calcul modulaire et documenté</w:t>
      </w:r>
    </w:p>
    <w:p>
      <w:pPr>
        <w:pStyle w:val="ListParagraph"/>
        <w:numPr>
          <w:ilvl w:val="0"/>
          <w:numId w:val="2"/>
        </w:numPr>
      </w:pPr>
      <w:r>
        <w:t xml:space="preserve">Fonctionnement hors connexion possible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Compatible tous navigateurs modernes</w:t>
      </w:r>
    </w:p>
    <w:p>
      <w:pPr>
        <w:pStyle w:val="Heading2"/>
      </w:pPr>
      <w:r>
        <w:t xml:space="preserve">9. Gouvernance et évolutivité</w:t>
      </w:r>
    </w:p>
    <w:p>
      <w:pPr>
        <w:spacing w:after="200"/>
      </w:pPr>
      <w:r>
        <w:t xml:space="preserve">L'architecture devra permettre :</w:t>
      </w:r>
    </w:p>
    <w:p>
      <w:pPr>
        <w:pStyle w:val="ListParagraph"/>
        <w:numPr>
          <w:ilvl w:val="0"/>
          <w:numId w:val="2"/>
        </w:numPr>
      </w:pPr>
      <w:r>
        <w:t xml:space="preserve">l'intégration future d'autres corps ou régimes</w:t>
      </w:r>
    </w:p>
    <w:p>
      <w:pPr>
        <w:pStyle w:val="ListParagraph"/>
        <w:numPr>
          <w:ilvl w:val="0"/>
          <w:numId w:val="2"/>
        </w:numPr>
      </w:pPr>
      <w:r>
        <w:t xml:space="preserve">l'actualisation simple des paramètres réglementaires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l'audit des règles de calcul</w:t>
      </w:r>
    </w:p>
    <w:p>
      <w:pPr>
        <w:pStyle w:val="Heading2"/>
      </w:pPr>
      <w:r>
        <w:t xml:space="preserve">10. Limites et responsabilités</w:t>
      </w:r>
    </w:p>
    <w:p>
      <w:pPr>
        <w:spacing w:after="200"/>
      </w:pPr>
      <w:r>
        <w:t xml:space="preserve">Les résultats fournis n'ont aucune valeur contractuelle. La liquidation effective de la pension relève exclusivement des organismes compétents.</w:t>
      </w:r>
    </w:p>
    <w:p/>
    <w:p>
      <w:pPr>
        <w:jc w:val="center"/>
      </w:pPr>
      <w:r>
        <w:rPr>
          <w:b/>
          <w:bCs/>
        </w:rPr>
        <w:t xml:space="preserve">Fin du cahier des charges – Version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2026-01-21T19:14:43.830Z</dcterms:created>
  <dcterms:modified xsi:type="dcterms:W3CDTF">2026-01-21T19:14:43.831Z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