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42" w:leader="none"/>
        </w:tabs>
        <w:spacing w:before="0" w:after="160"/>
        <w:jc w:val="center"/>
        <w:rPr>
          <w:b/>
        </w:rPr>
      </w:pPr>
      <w:r>
        <w:rPr>
          <w:b/>
        </w:rPr>
        <w:t>ОТЧЕТ</w:t>
      </w:r>
    </w:p>
    <w:p>
      <w:pPr>
        <w:pStyle w:val="Normal"/>
        <w:tabs>
          <w:tab w:val="clear" w:pos="720"/>
          <w:tab w:val="left" w:pos="142" w:leader="none"/>
        </w:tabs>
        <w:spacing w:before="0" w:after="160"/>
        <w:jc w:val="center"/>
        <w:rPr>
          <w:bCs/>
        </w:rPr>
      </w:pPr>
      <w:r>
        <w:rPr>
          <w:bCs/>
        </w:rPr>
        <w:t xml:space="preserve">по результатам анализа </w:t>
      </w:r>
    </w:p>
    <w:p>
      <w:pPr>
        <w:pStyle w:val="Normal"/>
        <w:tabs>
          <w:tab w:val="clear" w:pos="720"/>
          <w:tab w:val="left" w:pos="142" w:leader="none"/>
        </w:tabs>
        <w:spacing w:before="0" w:after="160"/>
        <w:jc w:val="center"/>
        <w:rPr>
          <w:bCs/>
        </w:rPr>
      </w:pPr>
      <w:r>
        <w:rPr>
          <w:bCs/>
        </w:rPr>
        <w:t>данных секвенирования ДНК</w:t>
      </w:r>
    </w:p>
    <w:p>
      <w:pPr>
        <w:pStyle w:val="Normal"/>
        <w:tabs>
          <w:tab w:val="clear" w:pos="720"/>
          <w:tab w:val="left" w:pos="142" w:leader="none"/>
        </w:tabs>
        <w:rPr/>
      </w:pPr>
      <w:r>
        <w:rPr/>
      </w:r>
    </w:p>
    <w:tbl>
      <w:tblPr>
        <w:tblStyle w:val="aff0"/>
        <w:tblW w:w="962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4813"/>
        <w:gridCol w:w="4814"/>
      </w:tblGrid>
      <w:tr>
        <w:trPr/>
        <w:tc>
          <w:tcPr>
            <w:tcW w:w="4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6"/>
              <w:rPr>
                <w:b/>
                <w:sz w:val="22"/>
                <w:szCs w:val="22"/>
              </w:rPr>
            </w:pPr>
            <w:r>
              <w:rPr>
                <w:b/>
              </w:rPr>
              <w:t>Номер образца</w:t>
            </w:r>
          </w:p>
        </w:tc>
        <w:tc>
          <w:tcPr>
            <w:tcW w:w="4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6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{{ patient.id }}</w:t>
            </w:r>
          </w:p>
        </w:tc>
      </w:tr>
      <w:tr>
        <w:trPr/>
        <w:tc>
          <w:tcPr>
            <w:tcW w:w="4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6"/>
              <w:rPr>
                <w:b/>
                <w:sz w:val="22"/>
                <w:szCs w:val="22"/>
              </w:rPr>
            </w:pPr>
            <w:r>
              <w:rPr>
                <w:b/>
              </w:rPr>
              <w:t>Пол пациента:</w:t>
            </w:r>
          </w:p>
        </w:tc>
        <w:tc>
          <w:tcPr>
            <w:tcW w:w="4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 patient.sex }}</w:t>
            </w:r>
          </w:p>
        </w:tc>
      </w:tr>
      <w:tr>
        <w:trPr/>
        <w:tc>
          <w:tcPr>
            <w:tcW w:w="4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6"/>
              <w:rPr>
                <w:b/>
                <w:sz w:val="22"/>
                <w:szCs w:val="22"/>
              </w:rPr>
            </w:pPr>
            <w:r>
              <w:rPr>
                <w:b/>
              </w:rPr>
              <w:t>Возраст пациента:</w:t>
            </w:r>
          </w:p>
        </w:tc>
        <w:tc>
          <w:tcPr>
            <w:tcW w:w="4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6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{{ patient.age }}</w:t>
            </w:r>
          </w:p>
        </w:tc>
      </w:tr>
      <w:tr>
        <w:trPr/>
        <w:tc>
          <w:tcPr>
            <w:tcW w:w="4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46"/>
              <w:rPr>
                <w:b/>
                <w:sz w:val="22"/>
                <w:szCs w:val="22"/>
              </w:rPr>
            </w:pPr>
            <w:r>
              <w:rPr>
                <w:b/>
              </w:rPr>
              <w:t>Предварительный диагноз:</w:t>
            </w:r>
          </w:p>
        </w:tc>
        <w:tc>
          <w:tcPr>
            <w:tcW w:w="48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rFonts w:ascii="Helvetica Neue" w:hAnsi="Helvetica Neue" w:eastAsia="Calibri" w:cs="Helvetica Neue"/>
                <w:color w:val="000000"/>
                <w:sz w:val="26"/>
                <w:szCs w:val="26"/>
              </w:rPr>
            </w:pPr>
            <w:r>
              <w:rPr>
                <w:sz w:val="22"/>
                <w:szCs w:val="22"/>
                <w:lang w:val="ru-RU"/>
              </w:rPr>
              <w:t>{{ patient.diagnosis }}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jc w:val="center"/>
        <w:rPr/>
      </w:pPr>
      <w:r>
        <w:rPr/>
      </w:r>
    </w:p>
    <w:p>
      <w:pPr>
        <w:pStyle w:val="Normal"/>
        <w:tabs>
          <w:tab w:val="clear" w:pos="720"/>
          <w:tab w:val="left" w:pos="142" w:leader="none"/>
        </w:tabs>
        <w:jc w:val="center"/>
        <w:rPr>
          <w:b/>
          <w:sz w:val="22"/>
          <w:szCs w:val="22"/>
        </w:rPr>
      </w:pPr>
      <w:r>
        <w:rPr>
          <w:b/>
        </w:rPr>
        <w:t>РЕЗУЛЬТАТЫ</w:t>
      </w:r>
      <w:r>
        <w:rPr>
          <w:b/>
          <w:sz w:val="22"/>
          <w:szCs w:val="22"/>
        </w:rPr>
        <w:t xml:space="preserve"> ИССЛЕДОВАНИЯ</w:t>
      </w:r>
    </w:p>
    <w:p>
      <w:pPr>
        <w:pStyle w:val="Normal"/>
        <w:numPr>
          <w:ilvl w:val="0"/>
          <w:numId w:val="2"/>
        </w:numPr>
        <w:pBdr/>
        <w:spacing w:lineRule="auto" w:line="276" w:before="200" w:after="20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Патогенные варианты нуклеотидной последовательности, являющиеся вероятной причиной заболевания</w:t>
      </w:r>
    </w:p>
    <w:tbl>
      <w:tblPr>
        <w:tblStyle w:val="aff1"/>
        <w:tblW w:w="983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845"/>
        <w:gridCol w:w="2268"/>
        <w:gridCol w:w="2268"/>
        <w:gridCol w:w="1843"/>
        <w:gridCol w:w="1134"/>
        <w:gridCol w:w="1477"/>
      </w:tblGrid>
      <w:tr>
        <w:trPr>
          <w:trHeight w:val="668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Ген</w:t>
            </w:r>
          </w:p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Ассоциированное заболевание (OMIM)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Изменение ДНК (HG38) (Изменение белка)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Зиготность </w:t>
            </w:r>
          </w:p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(Тип наследования)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Частота*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Кол-во прочтений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(АЛТ/ОБЩ)</w:t>
            </w:r>
          </w:p>
        </w:tc>
      </w:tr>
      <w:tr>
        <w:trPr>
          <w:trHeight w:val="668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for v in p_variants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668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{{ v.gene }}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v.disease }}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{{r v.variation }}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{{r v.zygosity }}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v.frequency }}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v.coverage }}</w:t>
            </w:r>
          </w:p>
        </w:tc>
      </w:tr>
      <w:tr>
        <w:trPr>
          <w:trHeight w:val="668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else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983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Не обнаружено.</w:t>
            </w:r>
          </w:p>
        </w:tc>
      </w:tr>
      <w:tr>
        <w:trPr>
          <w:trHeight w:val="668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</w:tbl>
    <w:p>
      <w:pPr>
        <w:pStyle w:val="Normal"/>
        <w:numPr>
          <w:ilvl w:val="0"/>
          <w:numId w:val="2"/>
        </w:numPr>
        <w:pBdr/>
        <w:spacing w:lineRule="auto" w:line="276" w:before="200" w:after="200"/>
        <w:rPr>
          <w:b/>
          <w:color w:val="000000"/>
          <w:sz w:val="22"/>
          <w:szCs w:val="22"/>
        </w:rPr>
      </w:pPr>
      <w:r>
        <w:rPr>
          <w:b/>
          <w:sz w:val="22"/>
          <w:szCs w:val="22"/>
        </w:rPr>
        <w:t>Вероятно патогенные варианты нуклеотидной последовательности, являющиеся вероятной причиной заболевания</w:t>
      </w:r>
    </w:p>
    <w:tbl>
      <w:tblPr>
        <w:tblStyle w:val="aff1"/>
        <w:tblW w:w="983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845"/>
        <w:gridCol w:w="2268"/>
        <w:gridCol w:w="2268"/>
        <w:gridCol w:w="1843"/>
        <w:gridCol w:w="1134"/>
        <w:gridCol w:w="1477"/>
      </w:tblGrid>
      <w:tr>
        <w:trPr>
          <w:trHeight w:val="668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Ген</w:t>
            </w:r>
          </w:p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Ассоциированное заболевание (OMIM)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Изменение ДНК (HG38) (Изменение белка)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Зиготность </w:t>
            </w:r>
          </w:p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(Тип наследования)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Частота*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Кол-во прочтений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(АЛТ/ОБЩ)</w:t>
            </w:r>
          </w:p>
        </w:tc>
      </w:tr>
      <w:tr>
        <w:trPr>
          <w:trHeight w:val="668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for v in lp_variants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668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{{ v.gene }}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v.disease }}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{{r v.variation }}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{{r v.zygosity }}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v.frequency }}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v.coverage }}</w:t>
            </w:r>
          </w:p>
        </w:tc>
      </w:tr>
      <w:tr>
        <w:trPr>
          <w:trHeight w:val="668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else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983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Не обнаружено.</w:t>
            </w:r>
          </w:p>
        </w:tc>
      </w:tr>
      <w:tr>
        <w:trPr>
          <w:trHeight w:val="668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</w:tbl>
    <w:p>
      <w:pPr>
        <w:pStyle w:val="Normal"/>
        <w:numPr>
          <w:ilvl w:val="0"/>
          <w:numId w:val="2"/>
        </w:numPr>
        <w:pBdr/>
        <w:spacing w:lineRule="auto" w:line="276" w:before="200" w:after="20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Варианты нуклеотидной последовательности с неопределенной клинической значимостью</w:t>
      </w:r>
    </w:p>
    <w:tbl>
      <w:tblPr>
        <w:tblStyle w:val="aff1"/>
        <w:tblW w:w="983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845"/>
        <w:gridCol w:w="2268"/>
        <w:gridCol w:w="2268"/>
        <w:gridCol w:w="1843"/>
        <w:gridCol w:w="1134"/>
        <w:gridCol w:w="1477"/>
      </w:tblGrid>
      <w:tr>
        <w:trPr>
          <w:trHeight w:val="668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Ген</w:t>
            </w:r>
          </w:p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Ассоциированное заболевание (OMIM)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Изменение ДНК (HG38) (Изменение белка)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Зиготность </w:t>
            </w:r>
          </w:p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(Тип наследования)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Частота*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Кол-во прочтений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(АЛТ/ОБЩ)</w:t>
            </w:r>
          </w:p>
        </w:tc>
      </w:tr>
      <w:tr>
        <w:trPr>
          <w:trHeight w:val="668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for v in vus_variants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668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{{ v.gene }}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v.disease }}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{{r v.variation }}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{{r v.zygosity }}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v.frequency }}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v.coverage }}</w:t>
            </w:r>
          </w:p>
        </w:tc>
      </w:tr>
      <w:tr>
        <w:trPr>
          <w:trHeight w:val="668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else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983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Не обнаружено.</w:t>
            </w:r>
          </w:p>
        </w:tc>
      </w:tr>
      <w:tr>
        <w:trPr>
          <w:trHeight w:val="668" w:hRule="atLeast"/>
        </w:trPr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80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36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4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numPr>
          <w:ilvl w:val="0"/>
          <w:numId w:val="2"/>
        </w:numPr>
        <w:pBdr/>
        <w:spacing w:before="200" w:after="200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>Структурные генетические варианты</w:t>
      </w:r>
    </w:p>
    <w:tbl>
      <w:tblPr>
        <w:tblStyle w:val="aff4"/>
        <w:tblW w:w="98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1830"/>
        <w:gridCol w:w="2820"/>
        <w:gridCol w:w="2460"/>
        <w:gridCol w:w="869"/>
        <w:gridCol w:w="1846"/>
      </w:tblGrid>
      <w:tr>
        <w:trPr>
          <w:trHeight w:val="570" w:hRule="atLeast"/>
        </w:trPr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Изменение ДНК (HG38)</w:t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Ассоциированное заболевание (OMIM)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Затронутые морбидные гены</w:t>
            </w:r>
          </w:p>
        </w:tc>
        <w:tc>
          <w:tcPr>
            <w:tcW w:w="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Число копий</w:t>
            </w:r>
          </w:p>
        </w:tc>
        <w:tc>
          <w:tcPr>
            <w:tcW w:w="1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Классификация</w:t>
            </w:r>
          </w:p>
        </w:tc>
      </w:tr>
      <w:tr>
        <w:trPr>
          <w:trHeight w:val="570" w:hRule="atLeast"/>
        </w:trPr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for v in cnv_variants %}</w:t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570" w:hRule="atLeast"/>
        </w:trPr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v.variation }}</w:t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v.disease }}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v.genes }}</w:t>
            </w:r>
          </w:p>
        </w:tc>
        <w:tc>
          <w:tcPr>
            <w:tcW w:w="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v.copies }}</w:t>
            </w:r>
          </w:p>
        </w:tc>
        <w:tc>
          <w:tcPr>
            <w:tcW w:w="1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v.classification }}</w:t>
            </w:r>
          </w:p>
        </w:tc>
      </w:tr>
      <w:tr>
        <w:trPr>
          <w:trHeight w:val="570" w:hRule="atLeast"/>
        </w:trPr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else %}</w:t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982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Не обнаружено.</w:t>
            </w:r>
          </w:p>
        </w:tc>
      </w:tr>
      <w:tr>
        <w:trPr>
          <w:trHeight w:val="570" w:hRule="atLeast"/>
        </w:trPr>
        <w:tc>
          <w:tcPr>
            <w:tcW w:w="1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numPr>
          <w:ilvl w:val="0"/>
          <w:numId w:val="2"/>
        </w:numPr>
        <w:pBdr/>
        <w:spacing w:before="200" w:after="20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Варианты в митохондриальной ДНК</w:t>
      </w:r>
    </w:p>
    <w:tbl>
      <w:tblPr>
        <w:tblStyle w:val="aff5"/>
        <w:tblW w:w="98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845"/>
        <w:gridCol w:w="2126"/>
        <w:gridCol w:w="1985"/>
        <w:gridCol w:w="2552"/>
        <w:gridCol w:w="2362"/>
      </w:tblGrid>
      <w:tr>
        <w:trPr/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Ген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Ассоциированное заболевание (OMIM)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Изменение ДНК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Классификация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Кол-во прочтений</w:t>
            </w:r>
          </w:p>
          <w:p>
            <w:pPr>
              <w:pStyle w:val="Normal"/>
              <w:pBdr/>
              <w:jc w:val="center"/>
              <w:rPr>
                <w:b/>
              </w:rPr>
            </w:pPr>
            <w:r>
              <w:rPr>
                <w:b/>
              </w:rPr>
              <w:t>(АЛТ/ОБЩ)</w:t>
            </w:r>
          </w:p>
        </w:tc>
      </w:tr>
      <w:tr>
        <w:trPr/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for v in mt_variants %}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{{ v.gene }}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v.disease }}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v.variation }}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v.classification }}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sz w:val="22"/>
                <w:szCs w:val="22"/>
              </w:rPr>
              <w:t>{{ v.coverage }}</w:t>
            </w:r>
          </w:p>
        </w:tc>
      </w:tr>
      <w:tr>
        <w:trPr/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else %}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987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обнаружено.</w:t>
            </w:r>
          </w:p>
        </w:tc>
      </w:tr>
      <w:tr>
        <w:trPr/>
        <w:tc>
          <w:tcPr>
            <w:tcW w:w="8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Bdr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widowControl w:val="false"/>
        <w:numPr>
          <w:ilvl w:val="0"/>
          <w:numId w:val="2"/>
        </w:numPr>
        <w:pBdr/>
        <w:spacing w:before="200" w:after="20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Исследование числа клинически значимых коротких тандемных повторов</w:t>
      </w:r>
    </w:p>
    <w:tbl>
      <w:tblPr>
        <w:tblStyle w:val="aff6"/>
        <w:tblW w:w="979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425"/>
        <w:gridCol w:w="2385"/>
        <w:gridCol w:w="1844"/>
        <w:gridCol w:w="1846"/>
        <w:gridCol w:w="2295"/>
      </w:tblGrid>
      <w:tr>
        <w:trPr>
          <w:trHeight w:val="555" w:hRule="atLeast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Ген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52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Ассоциированное</w:t>
            </w:r>
          </w:p>
          <w:p>
            <w:pPr>
              <w:pStyle w:val="Normal"/>
              <w:widowControl w:val="false"/>
              <w:pBdr/>
              <w:spacing w:lineRule="auto" w:line="252" w:before="5" w:after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заболевание (OMIM)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before="125" w:after="0"/>
              <w:ind w:firstLine="1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Экспансия</w:t>
              <w:br/>
              <w:t>повтора</w:t>
            </w:r>
          </w:p>
        </w:tc>
        <w:tc>
          <w:tcPr>
            <w:tcW w:w="1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before="125" w:after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Оценочное число повторов</w:t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Классификация</w:t>
            </w:r>
          </w:p>
        </w:tc>
      </w:tr>
      <w:tr>
        <w:trPr>
          <w:trHeight w:val="555" w:hRule="atLeast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{%tr for v in str_variants %}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52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before="125" w:after="0"/>
              <w:ind w:firstLine="1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1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before="125" w:after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</w:tr>
      <w:tr>
        <w:trPr>
          <w:trHeight w:val="555" w:hRule="atLeast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{{ v.gene }}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52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{{ v.disease }}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before="125" w:after="0"/>
              <w:ind w:firstLine="1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{{ v.expansion }}</w:t>
            </w:r>
          </w:p>
        </w:tc>
        <w:tc>
          <w:tcPr>
            <w:tcW w:w="1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before="125" w:after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{{ v.repeat_count }}</w:t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{{ v.classification }}</w:t>
            </w:r>
          </w:p>
        </w:tc>
      </w:tr>
      <w:tr>
        <w:trPr>
          <w:trHeight w:val="555" w:hRule="atLeast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{%tr else %}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52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before="125" w:after="0"/>
              <w:ind w:firstLine="1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1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before="125" w:after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</w:tr>
      <w:tr>
        <w:trPr>
          <w:trHeight w:val="315" w:hRule="atLeast"/>
        </w:trPr>
        <w:tc>
          <w:tcPr>
            <w:tcW w:w="979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33"/>
              <w:ind w:start="3999" w:end="3987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 обнаружено.</w:t>
            </w:r>
          </w:p>
        </w:tc>
      </w:tr>
      <w:tr>
        <w:trPr>
          <w:trHeight w:val="555" w:hRule="atLeast"/>
        </w:trPr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52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before="125" w:after="0"/>
              <w:ind w:firstLine="1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1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before="125" w:after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2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numPr>
          <w:ilvl w:val="0"/>
          <w:numId w:val="2"/>
        </w:numPr>
        <w:pBdr/>
        <w:spacing w:before="200" w:after="20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Клинически значимые варианты, не связанные с основным диагнозом</w:t>
      </w:r>
    </w:p>
    <w:tbl>
      <w:tblPr>
        <w:tblStyle w:val="aff7"/>
        <w:tblW w:w="98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681"/>
        <w:gridCol w:w="2008"/>
        <w:gridCol w:w="1559"/>
        <w:gridCol w:w="1701"/>
        <w:gridCol w:w="1134"/>
        <w:gridCol w:w="1276"/>
        <w:gridCol w:w="1528"/>
      </w:tblGrid>
      <w:tr>
        <w:trPr>
          <w:trHeight w:val="564" w:hRule="atLeast"/>
        </w:trPr>
        <w:tc>
          <w:tcPr>
            <w:tcW w:w="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Ген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Ассоциированное заболевание (OMIM)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Изменение ДНК (HG38) (Изменение белка)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Зиготность (Тип наследования)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Частота*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Патогенность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Кол-во прочтений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(АЛТ/ОБЩ)</w:t>
            </w:r>
          </w:p>
        </w:tc>
      </w:tr>
      <w:tr>
        <w:trPr>
          <w:trHeight w:val="564" w:hRule="atLeast"/>
        </w:trPr>
        <w:tc>
          <w:tcPr>
            <w:tcW w:w="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for v in sf_variants %}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564" w:hRule="atLeast"/>
        </w:trPr>
        <w:tc>
          <w:tcPr>
            <w:tcW w:w="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{{ v.gene }}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v.disease }}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{{r v.variation }}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{{r v.zygosity }}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v.frequency }}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v.pathogenicity }}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{{ v.coverage }}</w:t>
            </w:r>
          </w:p>
        </w:tc>
      </w:tr>
      <w:tr>
        <w:trPr>
          <w:trHeight w:val="564" w:hRule="atLeast"/>
        </w:trPr>
        <w:tc>
          <w:tcPr>
            <w:tcW w:w="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else %}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>
          <w:trHeight w:val="335" w:hRule="atLeast"/>
        </w:trPr>
        <w:tc>
          <w:tcPr>
            <w:tcW w:w="9887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Не обнаружено.</w:t>
            </w:r>
          </w:p>
        </w:tc>
      </w:tr>
      <w:tr>
        <w:trPr>
          <w:trHeight w:val="564" w:hRule="atLeast"/>
        </w:trPr>
        <w:tc>
          <w:tcPr>
            <w:tcW w:w="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  <w:tc>
          <w:tcPr>
            <w:tcW w:w="2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</w:tbl>
    <w:p>
      <w:pPr>
        <w:pStyle w:val="Normal"/>
        <w:pBdr/>
        <w:spacing w:lineRule="auto" w:line="276" w:before="200" w:after="200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* Частоты аллелей приведены по базе данных gnomAD v4.1.0 (выборка до 807,162 человек).</w:t>
      </w:r>
    </w:p>
    <w:p>
      <w:pPr>
        <w:pStyle w:val="Normal"/>
        <w:rPr/>
      </w:pPr>
      <w:r>
        <w:rPr/>
      </w:r>
    </w:p>
    <w:p>
      <w:pPr>
        <w:pStyle w:val="Heading3"/>
        <w:spacing w:lineRule="auto" w:line="276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Cs w:val="24"/>
        </w:rPr>
        <w:t>ИНТЕРПРЕТАЦИЯ</w:t>
      </w: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pBdr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Был проведен поиск вариантов, ассоциированных с направительным диагнозом у пробанда и прочими наследственными заболеваниями со сходными фенотипическими проявлениями. </w:t>
      </w:r>
    </w:p>
    <w:p>
      <w:pPr>
        <w:pStyle w:val="Normal"/>
        <w:pBdr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pBdr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Других значимых изменений, соответствующих критериям поиска, не обнаружено. </w:t>
      </w:r>
    </w:p>
    <w:p>
      <w:pPr>
        <w:pStyle w:val="Normal"/>
        <w:pBdr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pBdr/>
        <w:jc w:val="both"/>
        <w:rPr>
          <w:sz w:val="22"/>
          <w:szCs w:val="22"/>
        </w:rPr>
      </w:pPr>
      <w:r>
        <w:rPr>
          <w:sz w:val="22"/>
          <w:szCs w:val="22"/>
        </w:rPr>
        <w:t>При анализе данных полногеномного секвенирования проводится комплексный анализ всех генов, для которых научно обоснована клиническая значимость. Особое внимание при проведении исследования уделяется генам, которые ассоциированы с развитием признаков, выявленных у пробанда, а также проверке диагностических гипотез, указанных в предварительном диагнозе. Отдельно в рамках преаналитического этапа (идентификация образца) рассматриваются генетические варианты, обнаруженные в ходе других генетических исследований.</w:t>
      </w:r>
    </w:p>
    <w:p>
      <w:pPr>
        <w:pStyle w:val="Normal"/>
        <w:pBdr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pBdr/>
        <w:jc w:val="both"/>
        <w:rPr>
          <w:sz w:val="22"/>
          <w:szCs w:val="22"/>
        </w:rPr>
      </w:pPr>
      <w:r>
        <w:rPr>
          <w:sz w:val="22"/>
          <w:szCs w:val="22"/>
        </w:rPr>
        <w:t>Оценка клинической значимости (патогенности) выявленных вариантов проводилась на основании российских рекомендаций для интерпретации данных, полученных методами массового параллельного секвенирования (MPS).</w:t>
      </w:r>
    </w:p>
    <w:p>
      <w:pPr>
        <w:pStyle w:val="Normal"/>
        <w:spacing w:lineRule="auto" w:line="276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Результаты данного исследования могут быть правильно интерпретированы только врачом-генетиком.</w:t>
      </w:r>
    </w:p>
    <w:p>
      <w:pPr>
        <w:pStyle w:val="Normal"/>
        <w:spacing w:lineRule="auto" w:line="276"/>
        <w:jc w:val="both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142" w:leader="none"/>
        </w:tabs>
        <w:jc w:val="center"/>
        <w:rPr>
          <w:b/>
        </w:rPr>
      </w:pPr>
      <w:r>
        <w:rPr>
          <w:b/>
        </w:rPr>
        <w:t>ТЕХНИЧЕСКИЕ ХАРАКТЕРИСТИКИ</w:t>
      </w:r>
    </w:p>
    <w:tbl>
      <w:tblPr>
        <w:tblStyle w:val="aff8"/>
        <w:tblW w:w="9722" w:type="dxa"/>
        <w:jc w:val="start"/>
        <w:tblInd w:w="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2943"/>
        <w:gridCol w:w="6779"/>
      </w:tblGrid>
      <w:tr>
        <w:trPr>
          <w:trHeight w:val="279" w:hRule="atLeast"/>
        </w:trPr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Метод исследования: </w:t>
            </w:r>
          </w:p>
        </w:tc>
        <w:tc>
          <w:tcPr>
            <w:tcW w:w="6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59"/>
              <w:rPr>
                <w:sz w:val="22"/>
                <w:szCs w:val="22"/>
              </w:rPr>
            </w:pPr>
            <w:bookmarkStart w:id="0" w:name="_heading=h.gjdgxs"/>
            <w:bookmarkEnd w:id="0"/>
            <w:r>
              <w:rPr>
                <w:sz w:val="22"/>
                <w:szCs w:val="22"/>
              </w:rPr>
              <w:t xml:space="preserve">полногеномное секвенирование (Whole Genome Sequencing). </w:t>
            </w:r>
          </w:p>
        </w:tc>
      </w:tr>
      <w:tr>
        <w:trPr>
          <w:trHeight w:val="628" w:hRule="atLeast"/>
        </w:trPr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22" w:end="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Средняя глубина прочтения генома после секвенирования: </w:t>
            </w:r>
          </w:p>
        </w:tc>
        <w:tc>
          <w:tcPr>
            <w:tcW w:w="6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 tech.depth }}</w:t>
            </w:r>
          </w:p>
        </w:tc>
      </w:tr>
      <w:tr>
        <w:trPr>
          <w:trHeight w:val="454" w:hRule="atLeast"/>
        </w:trPr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Количество прочитанных нуклеотидов: </w:t>
            </w:r>
          </w:p>
        </w:tc>
        <w:tc>
          <w:tcPr>
            <w:tcW w:w="6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менее 90 млрд</w:t>
            </w:r>
          </w:p>
        </w:tc>
      </w:tr>
      <w:tr>
        <w:trPr>
          <w:trHeight w:val="277" w:hRule="atLeast"/>
        </w:trPr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Тип прочтения: </w:t>
            </w:r>
          </w:p>
        </w:tc>
        <w:tc>
          <w:tcPr>
            <w:tcW w:w="6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парно-концевое</w:t>
            </w:r>
          </w:p>
        </w:tc>
      </w:tr>
      <w:tr>
        <w:trPr>
          <w:trHeight w:val="279" w:hRule="atLeast"/>
        </w:trPr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Длина прочтения: </w:t>
            </w:r>
          </w:p>
        </w:tc>
        <w:tc>
          <w:tcPr>
            <w:tcW w:w="6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</w:t>
            </w:r>
          </w:p>
        </w:tc>
      </w:tr>
      <w:tr>
        <w:trPr>
          <w:trHeight w:val="453" w:hRule="atLeast"/>
        </w:trPr>
        <w:tc>
          <w:tcPr>
            <w:tcW w:w="29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Качество выходных данных секвенирования: </w:t>
            </w:r>
          </w:p>
        </w:tc>
        <w:tc>
          <w:tcPr>
            <w:tcW w:w="6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   число прочтений с качеством Q20: не менее 90% от числа прочтений, полученных в результате секвенирования; </w:t>
            </w:r>
          </w:p>
        </w:tc>
      </w:tr>
      <w:tr>
        <w:trPr>
          <w:trHeight w:val="454" w:hRule="atLeast"/>
        </w:trPr>
        <w:tc>
          <w:tcPr>
            <w:tcW w:w="29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67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5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   число прочтений с качеством Q30: не менее 80% от числа прочтений, полученных в результате секвенирования. 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tabs>
          <w:tab w:val="clear" w:pos="720"/>
          <w:tab w:val="left" w:pos="142" w:leader="none"/>
        </w:tabs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СПИСОК </w:t>
      </w:r>
      <w:r>
        <w:rPr>
          <w:b/>
        </w:rPr>
        <w:t>ЛИТЕРАТУРЫ</w:t>
      </w:r>
      <w:r>
        <w:rPr>
          <w:b/>
          <w:sz w:val="22"/>
          <w:szCs w:val="22"/>
        </w:rPr>
        <w:t xml:space="preserve"> И БАЗЫ ДАННЫХ </w:t>
      </w:r>
    </w:p>
    <w:p>
      <w:pPr>
        <w:pStyle w:val="Normal"/>
        <w:ind w:start="72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http://www.omim.org/ 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http://www.ncbi.nlm.nih.gov/snp/ 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http://gnomad.broadinstitute.org/ 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http://www.ncbi.nlm.nih.gov/clinvar/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https://franklin.genoox.com/clinical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http://www.ensembl.org/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https://www.uniprot.org/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www.deciphergenomics.org/</w:t>
      </w:r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hyperlink r:id="rId2">
        <w:r>
          <w:rPr>
            <w:rStyle w:val="Style3"/>
            <w:color w:val="1155CC"/>
            <w:sz w:val="22"/>
            <w:szCs w:val="22"/>
            <w:u w:val="single"/>
          </w:rPr>
          <w:t>https://mitomap.org</w:t>
        </w:r>
      </w:hyperlink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hyperlink r:id="rId3">
        <w:r>
          <w:rPr>
            <w:rStyle w:val="Hyperlink"/>
            <w:sz w:val="22"/>
            <w:szCs w:val="22"/>
          </w:rPr>
          <w:t>https://www.clinicalgenome.org/</w:t>
        </w:r>
      </w:hyperlink>
    </w:p>
    <w:p>
      <w:pPr>
        <w:pStyle w:val="Normal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Сухих Г.Т., Трофимов Д.Ю., Шубина Е., Дегтярев Д.Н. и др. Методические рекомендации «Применение высокопроизводительного секвенирования и молекулярного кариотипирования на микроматрицах в пренатальный период». Акушерство и гинекология. 2024; 3 (Приложение): 25-43, https://dx.doi.org/10.18565/aig.2024.52</w:t>
      </w:r>
    </w:p>
    <w:p>
      <w:pPr>
        <w:pStyle w:val="Normal"/>
        <w:tabs>
          <w:tab w:val="clear" w:pos="720"/>
          <w:tab w:val="left" w:pos="142" w:leader="none"/>
        </w:tabs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20"/>
          <w:tab w:val="left" w:pos="142" w:leader="none"/>
        </w:tabs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20"/>
          <w:tab w:val="left" w:pos="142" w:leader="none"/>
        </w:tabs>
        <w:ind w:firstLine="142"/>
        <w:rPr>
          <w:sz w:val="22"/>
          <w:szCs w:val="22"/>
        </w:rPr>
      </w:pPr>
      <w:r>
        <w:rPr>
          <w:sz w:val="22"/>
          <w:szCs w:val="22"/>
        </w:rPr>
        <w:t>Дата выдачи отчета: {{ report_date }}</w:t>
      </w:r>
    </w:p>
    <w:p>
      <w:pPr>
        <w:pStyle w:val="Normal"/>
        <w:tabs>
          <w:tab w:val="clear" w:pos="720"/>
          <w:tab w:val="left" w:pos="142" w:leader="none"/>
        </w:tabs>
        <w:ind w:firstLine="142"/>
        <w:rPr>
          <w:sz w:val="22"/>
          <w:szCs w:val="22"/>
        </w:rPr>
      </w:pPr>
      <w:r>
        <w:rPr>
          <w:sz w:val="22"/>
          <w:szCs w:val="22"/>
        </w:rPr>
        <w:t xml:space="preserve">Клинический биоинформатик </w:t>
        <w:tab/>
        <w:t>{{ clinician }}</w:t>
      </w:r>
    </w:p>
    <w:p>
      <w:pPr>
        <w:pStyle w:val="Normal"/>
        <w:widowControl w:val="false"/>
        <w:tabs>
          <w:tab w:val="clear" w:pos="720"/>
          <w:tab w:val="left" w:pos="142" w:leader="none"/>
        </w:tabs>
        <w:rPr/>
      </w:pPr>
      <w:r>
        <w:rPr/>
      </w:r>
      <w:bookmarkStart w:id="1" w:name="_heading=h.30j0zll"/>
      <w:bookmarkEnd w:id="1"/>
    </w:p>
    <w:sectPr>
      <w:type w:val="nextPage"/>
      <w:pgSz w:w="11906" w:h="16838"/>
      <w:pgMar w:left="851" w:right="1133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Helvetica Neue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rFonts w:ascii="Times New Roman" w:hAnsi="Times New Roman" w:eastAsia="Times New Roman" w:cs="Times New Roman"/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7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36e36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730abe"/>
    <w:pPr>
      <w:keepNext w:val="true"/>
      <w:keepLines/>
      <w:spacing w:lineRule="auto" w:line="259"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lineRule="auto" w:line="259" w:before="360" w:after="80"/>
      <w:outlineLvl w:val="1"/>
    </w:pPr>
    <w:rPr>
      <w:rFonts w:ascii="Calibri" w:hAnsi="Calibri" w:eastAsia="Calibri" w:cs="Calibri"/>
      <w:b/>
      <w:sz w:val="36"/>
      <w:szCs w:val="36"/>
    </w:rPr>
  </w:style>
  <w:style w:type="paragraph" w:styleId="Heading3">
    <w:name w:val="heading 3"/>
    <w:next w:val="Normal"/>
    <w:link w:val="3"/>
    <w:uiPriority w:val="9"/>
    <w:unhideWhenUsed/>
    <w:qFormat/>
    <w:rsid w:val="00891226"/>
    <w:pPr>
      <w:keepNext w:val="true"/>
      <w:keepLines/>
      <w:widowControl/>
      <w:bidi w:val="0"/>
      <w:spacing w:lineRule="auto" w:line="259" w:before="0" w:after="17"/>
      <w:ind w:hanging="10" w:start="369"/>
      <w:jc w:val="center"/>
      <w:outlineLvl w:val="2"/>
    </w:pPr>
    <w:rPr>
      <w:rFonts w:ascii="Arial" w:hAnsi="Arial" w:eastAsia="Arial" w:cs="Arial"/>
      <w:b/>
      <w:color w:val="000000"/>
      <w:kern w:val="0"/>
      <w:sz w:val="24"/>
      <w:szCs w:val="22"/>
      <w:lang w:val="ru-RU" w:eastAsia="ru-RU" w:bidi="ar-SA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lineRule="auto" w:line="259" w:before="240" w:after="40"/>
      <w:outlineLvl w:val="3"/>
    </w:pPr>
    <w:rPr>
      <w:rFonts w:ascii="Calibri" w:hAnsi="Calibri" w:eastAsia="Calibri" w:cs="Calibri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lineRule="auto" w:line="259" w:before="220" w:after="40"/>
      <w:outlineLvl w:val="4"/>
    </w:pPr>
    <w:rPr>
      <w:rFonts w:ascii="Calibri" w:hAnsi="Calibri" w:eastAsia="Calibri" w:cs="Calibri"/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lineRule="auto" w:line="259" w:before="200" w:after="40"/>
      <w:outlineLvl w:val="5"/>
    </w:pPr>
    <w:rPr>
      <w:rFonts w:ascii="Calibri" w:hAnsi="Calibri" w:eastAsia="Calibri" w:cs="Calibri"/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532df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e3f04"/>
    <w:rPr>
      <w:sz w:val="16"/>
      <w:szCs w:val="16"/>
    </w:rPr>
  </w:style>
  <w:style w:type="character" w:styleId="Style9" w:customStyle="1">
    <w:name w:val="Текст примечания Знак"/>
    <w:basedOn w:val="DefaultParagraphFont"/>
    <w:link w:val="CommentText"/>
    <w:uiPriority w:val="99"/>
    <w:semiHidden/>
    <w:qFormat/>
    <w:rsid w:val="000e3f04"/>
    <w:rPr>
      <w:sz w:val="20"/>
      <w:szCs w:val="20"/>
    </w:rPr>
  </w:style>
  <w:style w:type="character" w:styleId="Style10" w:customStyle="1">
    <w:name w:val="Тема примечания Знак"/>
    <w:basedOn w:val="Style9"/>
    <w:link w:val="annotationsubject"/>
    <w:uiPriority w:val="99"/>
    <w:semiHidden/>
    <w:qFormat/>
    <w:rsid w:val="000e3f04"/>
    <w:rPr>
      <w:b/>
      <w:bCs/>
      <w:sz w:val="20"/>
      <w:szCs w:val="20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981c7f"/>
    <w:rPr/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981c7f"/>
    <w:rPr/>
  </w:style>
  <w:style w:type="character" w:styleId="Style13" w:customStyle="1">
    <w:name w:val="Основной текст Знак"/>
    <w:basedOn w:val="DefaultParagraphFont"/>
    <w:uiPriority w:val="99"/>
    <w:semiHidden/>
    <w:qFormat/>
    <w:rsid w:val="00191c42"/>
    <w:rPr/>
  </w:style>
  <w:style w:type="character" w:styleId="FontStyle13" w:customStyle="1">
    <w:name w:val="Font Style13"/>
    <w:basedOn w:val="DefaultParagraphFont"/>
    <w:uiPriority w:val="99"/>
    <w:qFormat/>
    <w:rsid w:val="00f97631"/>
    <w:rPr>
      <w:rFonts w:ascii="Times New Roman" w:hAnsi="Times New Roman" w:cs="Times New Roman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891226"/>
    <w:rPr>
      <w:rFonts w:ascii="Arial" w:hAnsi="Arial" w:eastAsia="Arial" w:cs="Arial"/>
      <w:b/>
      <w:color w:val="000000"/>
      <w:sz w:val="24"/>
      <w:lang w:eastAsia="ru-RU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730ab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7493f"/>
    <w:rPr>
      <w:color w:themeColor="hyperlink" w:val="0563C1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77493f"/>
    <w:rPr>
      <w:color w:val="605E5C"/>
      <w:shd w:fill="E1DFDD" w:val="clea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00042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3"/>
    <w:uiPriority w:val="99"/>
    <w:semiHidden/>
    <w:unhideWhenUsed/>
    <w:rsid w:val="00191c42"/>
    <w:pPr>
      <w:spacing w:lineRule="auto" w:line="259" w:before="0" w:after="120"/>
    </w:pPr>
    <w:rPr>
      <w:rFonts w:ascii="Calibri" w:hAnsi="Calibri" w:eastAsia="Calibri" w:cs="Calibri"/>
      <w:sz w:val="22"/>
      <w:szCs w:val="22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lineRule="auto" w:line="259" w:before="480" w:after="120"/>
    </w:pPr>
    <w:rPr>
      <w:rFonts w:ascii="Calibri" w:hAnsi="Calibri" w:eastAsia="Calibri" w:cs="Calibri"/>
      <w:b/>
      <w:sz w:val="72"/>
      <w:szCs w:val="72"/>
    </w:rPr>
  </w:style>
  <w:style w:type="paragraph" w:styleId="ConsPlusNormal" w:customStyle="1">
    <w:name w:val="ConsPlusNormal"/>
    <w:qFormat/>
    <w:rsid w:val="00532df3"/>
    <w:pPr>
      <w:widowControl w:val="false"/>
      <w:bidi w:val="0"/>
      <w:spacing w:lineRule="auto" w:line="240" w:before="0" w:after="0"/>
      <w:jc w:val="start"/>
    </w:pPr>
    <w:rPr>
      <w:rFonts w:eastAsia="Times New Roman" w:ascii="Calibri" w:hAnsi="Calibri" w:cs="Calibri"/>
      <w:color w:val="auto"/>
      <w:kern w:val="0"/>
      <w:sz w:val="22"/>
      <w:szCs w:val="20"/>
      <w:lang w:val="ru-RU" w:eastAsia="ru-RU" w:bidi="ar-SA"/>
    </w:rPr>
  </w:style>
  <w:style w:type="paragraph" w:styleId="ConsPlusTitlePage" w:customStyle="1">
    <w:name w:val="ConsPlusTitlePage"/>
    <w:qFormat/>
    <w:rsid w:val="00532df3"/>
    <w:pPr>
      <w:widowControl w:val="false"/>
      <w:bidi w:val="0"/>
      <w:spacing w:lineRule="auto" w:line="240" w:before="0" w:after="0"/>
      <w:jc w:val="start"/>
    </w:pPr>
    <w:rPr>
      <w:rFonts w:ascii="Tahoma" w:hAnsi="Tahoma" w:eastAsia="Times New Roman" w:cs="Tahoma"/>
      <w:color w:val="auto"/>
      <w:kern w:val="0"/>
      <w:sz w:val="20"/>
      <w:szCs w:val="20"/>
      <w:lang w:val="ru-RU" w:eastAsia="ru-RU" w:bidi="ar-SA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532df3"/>
    <w:pPr/>
    <w:rPr>
      <w:rFonts w:ascii="Segoe UI" w:hAnsi="Segoe UI" w:eastAsia="Calibri" w:cs="Segoe UI"/>
      <w:sz w:val="18"/>
      <w:szCs w:val="18"/>
    </w:rPr>
  </w:style>
  <w:style w:type="paragraph" w:styleId="CommentText">
    <w:name w:val="annotation text"/>
    <w:basedOn w:val="Normal"/>
    <w:link w:val="Style9"/>
    <w:uiPriority w:val="99"/>
    <w:semiHidden/>
    <w:unhideWhenUsed/>
    <w:rsid w:val="000e3f04"/>
    <w:pPr>
      <w:spacing w:before="0" w:after="160"/>
    </w:pPr>
    <w:rPr>
      <w:rFonts w:ascii="Calibri" w:hAnsi="Calibri" w:eastAsia="Calibri" w:cs="Calibri"/>
      <w:sz w:val="20"/>
      <w:szCs w:val="20"/>
    </w:rPr>
  </w:style>
  <w:style w:type="paragraph" w:styleId="annotationsubject">
    <w:name w:val="annotation subject"/>
    <w:basedOn w:val="CommentText"/>
    <w:next w:val="CommentText"/>
    <w:link w:val="Style10"/>
    <w:uiPriority w:val="99"/>
    <w:semiHidden/>
    <w:unhideWhenUsed/>
    <w:qFormat/>
    <w:rsid w:val="000e3f04"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981c7f"/>
    <w:pPr>
      <w:tabs>
        <w:tab w:val="clear" w:pos="720"/>
        <w:tab w:val="center" w:pos="4677" w:leader="none"/>
        <w:tab w:val="right" w:pos="9355" w:leader="none"/>
      </w:tabs>
    </w:pPr>
    <w:rPr>
      <w:rFonts w:ascii="Calibri" w:hAnsi="Calibri" w:eastAsia="Calibri" w:cs="Calibri"/>
      <w:sz w:val="22"/>
      <w:szCs w:val="22"/>
    </w:rPr>
  </w:style>
  <w:style w:type="paragraph" w:styleId="Footer">
    <w:name w:val="footer"/>
    <w:basedOn w:val="Normal"/>
    <w:link w:val="Style12"/>
    <w:uiPriority w:val="99"/>
    <w:unhideWhenUsed/>
    <w:rsid w:val="00981c7f"/>
    <w:pPr>
      <w:tabs>
        <w:tab w:val="clear" w:pos="720"/>
        <w:tab w:val="center" w:pos="4677" w:leader="none"/>
        <w:tab w:val="right" w:pos="9355" w:leader="none"/>
      </w:tabs>
    </w:pPr>
    <w:rPr>
      <w:rFonts w:ascii="Calibri" w:hAnsi="Calibri" w:eastAsia="Calibri" w:cs="Calibri"/>
      <w:sz w:val="22"/>
      <w:szCs w:val="22"/>
    </w:rPr>
  </w:style>
  <w:style w:type="paragraph" w:styleId="Normalunindented" w:customStyle="1">
    <w:name w:val="Normal unindented"/>
    <w:qFormat/>
    <w:rsid w:val="005e4ad5"/>
    <w:pPr>
      <w:widowControl/>
      <w:bidi w:val="0"/>
      <w:spacing w:lineRule="auto" w:line="276" w:before="120" w:after="120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196f26"/>
    <w:pPr>
      <w:spacing w:lineRule="auto" w:line="259" w:before="0" w:after="160"/>
      <w:ind w:start="720"/>
      <w:contextualSpacing/>
    </w:pPr>
    <w:rPr>
      <w:rFonts w:ascii="Calibri" w:hAnsi="Calibri" w:eastAsia="Calibri" w:cs="Calibri"/>
      <w:sz w:val="22"/>
      <w:szCs w:val="22"/>
    </w:rPr>
  </w:style>
  <w:style w:type="paragraph" w:styleId="FWParties" w:customStyle="1">
    <w:name w:val="FWParties"/>
    <w:basedOn w:val="BodyText"/>
    <w:qFormat/>
    <w:rsid w:val="00191c42"/>
    <w:pPr>
      <w:numPr>
        <w:ilvl w:val="0"/>
        <w:numId w:val="2"/>
      </w:numPr>
      <w:spacing w:lineRule="auto" w:line="240" w:before="0" w:after="24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Revision">
    <w:name w:val="Revision"/>
    <w:uiPriority w:val="99"/>
    <w:semiHidden/>
    <w:qFormat/>
    <w:rsid w:val="001b7d2e"/>
    <w:pPr>
      <w:widowControl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TableParagraph" w:customStyle="1">
    <w:name w:val="Table Paragraph"/>
    <w:basedOn w:val="Normal"/>
    <w:uiPriority w:val="1"/>
    <w:qFormat/>
    <w:rsid w:val="0077493f"/>
    <w:pPr>
      <w:widowControl w:val="false"/>
      <w:suppressAutoHyphens w:val="true"/>
      <w:ind w:start="107"/>
    </w:pPr>
    <w:rPr>
      <w:sz w:val="22"/>
      <w:szCs w:val="22"/>
      <w:lang w:bidi="ru-RU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lineRule="auto" w:line="259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6">
    <w:name w:val="Table Grid"/>
    <w:basedOn w:val="a1"/>
    <w:uiPriority w:val="59"/>
    <w:rsid w:val="00cf36f1"/>
    <w:pPr>
      <w:spacing w:after="0" w:line="240" w:lineRule="auto"/>
    </w:pPr>
    <w:rPr>
      <w:sz w:val="24"/>
      <w:szCs w:val="24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itomap.org/" TargetMode="External"/><Relationship Id="rId3" Type="http://schemas.openxmlformats.org/officeDocument/2006/relationships/hyperlink" Target="https://www.clinicalgenome.org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jHaH+lXAHTXkBLLwbhDZO1KLUjHw==">AMUW2mXi4GjagKJort3dIdMPZZUQovIh1YExD9j2WRZVIXXMFgSCqSv7ZyUnkCYYfARo/BBpkjpc1Lgz1Lg0ulLPMu0nSe/1HcmsRMayAY43VXadabwX/M07n6QxftUFoQyVnGQ+th1cuICRbBnfaOPo1orTuYHYLw==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LibreOffice/26.2.3.2$Linux_X86_64 LibreOffice_project/620$Build-2</Application>
  <AppVersion>15.0000</AppVersion>
  <Pages>4</Pages>
  <Words>657</Words>
  <Characters>4588</Characters>
  <CharactersWithSpaces>5084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2023-07-25T08:03:00Z</dcterms:created>
  <dc:creator>Denis Zhuykov</dc:creator>
  <dc:description/>
  <dc:language>en-US</dc:language>
  <cp:lastModifiedBy/>
  <dcterms:modified xsi:type="dcterms:W3CDTF">2026-06-01T23:58:48Z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