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42" w:leader="none"/>
        </w:tabs>
        <w:spacing w:before="0" w:after="160"/>
        <w:jc w:val="center"/>
        <w:rPr>
          <w:b/>
        </w:rPr>
      </w:pPr>
      <w:r>
        <w:rPr>
          <w:b/>
        </w:rPr>
        <w:t>ОТЧЕТ</w:t>
      </w:r>
    </w:p>
    <w:p>
      <w:pPr>
        <w:pStyle w:val="Normal"/>
        <w:tabs>
          <w:tab w:val="clear" w:pos="720"/>
          <w:tab w:val="left" w:pos="142" w:leader="none"/>
        </w:tabs>
        <w:spacing w:before="0" w:after="160"/>
        <w:jc w:val="center"/>
        <w:rPr>
          <w:bCs/>
        </w:rPr>
      </w:pPr>
      <w:r>
        <w:rPr>
          <w:bCs/>
        </w:rPr>
        <w:t xml:space="preserve">по результатам анализа </w:t>
      </w:r>
    </w:p>
    <w:p>
      <w:pPr>
        <w:pStyle w:val="Normal"/>
        <w:tabs>
          <w:tab w:val="clear" w:pos="720"/>
          <w:tab w:val="left" w:pos="142" w:leader="none"/>
        </w:tabs>
        <w:spacing w:before="0" w:after="160"/>
        <w:jc w:val="center"/>
        <w:rPr>
          <w:bCs/>
        </w:rPr>
      </w:pPr>
      <w:r>
        <w:rPr>
          <w:bCs/>
        </w:rPr>
        <w:t>данных секвенирования ДНК</w:t>
      </w:r>
    </w:p>
    <w:p>
      <w:pPr>
        <w:pStyle w:val="Normal"/>
        <w:tabs>
          <w:tab w:val="clear" w:pos="720"/>
          <w:tab w:val="left" w:pos="142" w:leader="none"/>
        </w:tabs>
        <w:rPr/>
      </w:pPr>
      <w:r>
        <w:rPr/>
      </w:r>
    </w:p>
    <w:tbl>
      <w:tblPr>
        <w:tblStyle w:val="aff0"/>
        <w:tblW w:w="96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4813"/>
        <w:gridCol w:w="4814"/>
      </w:tblGrid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b/>
                <w:sz w:val="22"/>
                <w:szCs w:val="22"/>
              </w:rPr>
            </w:pPr>
            <w:r>
              <w:rPr>
                <w:b/>
              </w:rPr>
              <w:t>Номер образца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{{ patient.id }}</w:t>
            </w:r>
          </w:p>
        </w:tc>
      </w:tr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b/>
                <w:sz w:val="22"/>
                <w:szCs w:val="22"/>
              </w:rPr>
            </w:pPr>
            <w:r>
              <w:rPr>
                <w:b/>
              </w:rPr>
              <w:t>Пол пациента: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patient.sex }}</w:t>
            </w:r>
          </w:p>
        </w:tc>
      </w:tr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b/>
                <w:sz w:val="22"/>
                <w:szCs w:val="22"/>
              </w:rPr>
            </w:pPr>
            <w:r>
              <w:rPr>
                <w:b/>
              </w:rPr>
              <w:t>Возраст пациента: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 patient.age }}</w:t>
            </w:r>
          </w:p>
        </w:tc>
      </w:tr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b/>
                <w:sz w:val="22"/>
                <w:szCs w:val="22"/>
              </w:rPr>
            </w:pPr>
            <w:r>
              <w:rPr>
                <w:b/>
              </w:rPr>
              <w:t>Предварительный диагноз: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 Neue" w:hAnsi="Helvetica Neue" w:eastAsia="Calibri" w:cs="Helvetica Neue"/>
                <w:color w:val="000000"/>
                <w:sz w:val="26"/>
                <w:szCs w:val="26"/>
              </w:rPr>
            </w:pPr>
            <w:r>
              <w:rPr>
                <w:sz w:val="22"/>
                <w:szCs w:val="22"/>
                <w:lang w:val="ru-RU"/>
              </w:rPr>
              <w:t>{{ patient.diagnosis 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jc w:val="center"/>
        <w:rPr/>
      </w:pPr>
      <w:r>
        <w:rPr/>
      </w:r>
    </w:p>
    <w:p>
      <w:pPr>
        <w:pStyle w:val="Normal"/>
        <w:tabs>
          <w:tab w:val="clear" w:pos="720"/>
          <w:tab w:val="left" w:pos="142" w:leader="none"/>
        </w:tabs>
        <w:jc w:val="center"/>
        <w:rPr>
          <w:b/>
          <w:sz w:val="22"/>
          <w:szCs w:val="22"/>
        </w:rPr>
      </w:pPr>
      <w:r>
        <w:rPr>
          <w:b/>
        </w:rPr>
        <w:t>РЕЗУЛЬТАТЫ</w:t>
      </w:r>
      <w:r>
        <w:rPr>
          <w:b/>
          <w:sz w:val="22"/>
          <w:szCs w:val="22"/>
        </w:rPr>
        <w:t xml:space="preserve"> ИССЛЕДОВАНИЯ</w:t>
      </w:r>
    </w:p>
    <w:p>
      <w:pPr>
        <w:pStyle w:val="Normal"/>
        <w:numPr>
          <w:ilvl w:val="0"/>
          <w:numId w:val="2"/>
        </w:numPr>
        <w:spacing w:lineRule="auto" w:line="276" w:before="200" w:after="20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Патогенные варианты нуклеотидной последовательности, являющиеся вероятной причиной заболевания</w:t>
      </w:r>
    </w:p>
    <w:tbl>
      <w:tblPr>
        <w:tblStyle w:val="aff1"/>
        <w:tblW w:w="98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3"/>
        <w:gridCol w:w="2268"/>
        <w:gridCol w:w="2268"/>
        <w:gridCol w:w="1843"/>
        <w:gridCol w:w="1134"/>
        <w:gridCol w:w="1479"/>
      </w:tblGrid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 (Изменение белка)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Зиготность </w:t>
            </w:r>
          </w:p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(Тип наследования)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Частота*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(АЛТ/ОБЩ)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p_variants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v.variation }}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v.zygosity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v.frequency }}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8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Не обнаружено.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2"/>
        </w:numPr>
        <w:spacing w:lineRule="auto" w:line="276" w:before="200" w:after="200"/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t>Вероятно патогенные варианты нуклеотидной последовательности, являющиеся вероятной причиной заболевания</w:t>
      </w:r>
    </w:p>
    <w:tbl>
      <w:tblPr>
        <w:tblStyle w:val="aff1"/>
        <w:tblW w:w="98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3"/>
        <w:gridCol w:w="2268"/>
        <w:gridCol w:w="2268"/>
        <w:gridCol w:w="1843"/>
        <w:gridCol w:w="1134"/>
        <w:gridCol w:w="1479"/>
      </w:tblGrid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 (Изменение белка)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Зиготность </w:t>
            </w:r>
          </w:p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(Тип наследования)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Частота*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(АЛТ/ОБЩ)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lp_variants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v.variation }}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v.zygosity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v.frequency }}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8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Не обнаружено.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2"/>
        </w:numPr>
        <w:spacing w:lineRule="auto" w:line="276" w:before="200" w:after="20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Варианты нуклеотидной последовательности с неопределенной клинической значимостью</w:t>
      </w:r>
    </w:p>
    <w:tbl>
      <w:tblPr>
        <w:tblStyle w:val="aff1"/>
        <w:tblW w:w="98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3"/>
        <w:gridCol w:w="2268"/>
        <w:gridCol w:w="2268"/>
        <w:gridCol w:w="1843"/>
        <w:gridCol w:w="1134"/>
        <w:gridCol w:w="1479"/>
      </w:tblGrid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 (Изменение белка)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Зиготность </w:t>
            </w:r>
          </w:p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(Тип наследования)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Частота*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(АЛТ/ОБЩ)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vus_variants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v.variation }}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v.zygosity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v.frequency }}</w:t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8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Не обнаружено.</w:t>
            </w:r>
          </w:p>
        </w:tc>
      </w:tr>
      <w:tr>
        <w:trPr>
          <w:trHeight w:val="6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spacing w:before="200" w:after="20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Структурные генетические варианты</w:t>
      </w:r>
    </w:p>
    <w:tbl>
      <w:tblPr>
        <w:tblStyle w:val="aff4"/>
        <w:tblW w:w="98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1830"/>
        <w:gridCol w:w="2820"/>
        <w:gridCol w:w="2460"/>
        <w:gridCol w:w="867"/>
        <w:gridCol w:w="1848"/>
      </w:tblGrid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Затронутые морбидные гены</w:t>
            </w:r>
          </w:p>
        </w:tc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Число копий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Классификация</w:t>
            </w:r>
          </w:p>
        </w:tc>
      </w:tr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cnv_variants %}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v.variation }}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v.genes }}</w:t>
            </w:r>
          </w:p>
        </w:tc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v.copies }}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v.classification }}</w:t>
            </w:r>
          </w:p>
        </w:tc>
      </w:tr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982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Не обнаружено.</w:t>
            </w:r>
          </w:p>
        </w:tc>
      </w:tr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spacing w:before="200" w:after="20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Варианты в митохондриальной ДНК</w:t>
      </w:r>
    </w:p>
    <w:tbl>
      <w:tblPr>
        <w:tblStyle w:val="aff5"/>
        <w:tblW w:w="98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3"/>
        <w:gridCol w:w="2126"/>
        <w:gridCol w:w="1985"/>
        <w:gridCol w:w="2554"/>
        <w:gridCol w:w="2362"/>
      </w:tblGrid>
      <w:tr>
        <w:trPr/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</w:t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Классификация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(АЛТ/ОБЩ)</w:t>
            </w:r>
          </w:p>
        </w:tc>
      </w:tr>
      <w:tr>
        <w:trPr/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mt_variants %}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v.variation }}</w:t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v.classification }}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/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8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обнаружено.</w:t>
            </w:r>
          </w:p>
        </w:tc>
      </w:tr>
      <w:tr>
        <w:trPr/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spacing w:before="200" w:after="20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Исследование числа клинически значимых коротких тандемных повторов</w:t>
      </w:r>
    </w:p>
    <w:tbl>
      <w:tblPr>
        <w:tblStyle w:val="aff6"/>
        <w:tblW w:w="97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425"/>
        <w:gridCol w:w="2385"/>
        <w:gridCol w:w="1842"/>
        <w:gridCol w:w="1848"/>
        <w:gridCol w:w="2295"/>
      </w:tblGrid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Ген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Ассоциированное</w:t>
            </w:r>
          </w:p>
          <w:p>
            <w:pPr>
              <w:pStyle w:val="Normal"/>
              <w:widowControl w:val="false"/>
              <w:spacing w:lineRule="auto" w:line="252" w:before="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заболевание (OMIM)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Экспансия</w:t>
              <w:br/>
              <w:t>повтора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Оценочное число повторов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Классификация</w:t>
            </w:r>
          </w:p>
        </w:tc>
      </w:tr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str_variants %}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{{ v.expansion }}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{{ v.repeat_count }}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{{ v.classification }}</w:t>
            </w:r>
          </w:p>
        </w:tc>
      </w:tr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315" w:hRule="atLeast"/>
        </w:trPr>
        <w:tc>
          <w:tcPr>
            <w:tcW w:w="97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33"/>
              <w:ind w:start="3999" w:end="398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 обнаружено.</w:t>
            </w:r>
          </w:p>
        </w:tc>
      </w:tr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spacing w:before="200" w:after="20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Клинически значимые варианты, не связанные с основным диагнозом</w:t>
      </w:r>
    </w:p>
    <w:tbl>
      <w:tblPr>
        <w:tblStyle w:val="aff7"/>
        <w:tblW w:w="98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681"/>
        <w:gridCol w:w="2008"/>
        <w:gridCol w:w="1559"/>
        <w:gridCol w:w="1701"/>
        <w:gridCol w:w="1134"/>
        <w:gridCol w:w="1276"/>
        <w:gridCol w:w="1528"/>
      </w:tblGrid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 (Изменение белка)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Зиготность (Тип наследования)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Частота*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Патогенность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(АЛТ/ОБЩ)</w:t>
            </w:r>
          </w:p>
        </w:tc>
      </w:tr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sf_variants %}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v.variation 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v.zygosity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v.frequency }}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v.pathogenicity }}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335" w:hRule="atLeast"/>
        </w:trPr>
        <w:tc>
          <w:tcPr>
            <w:tcW w:w="9887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Не обнаружено.</w:t>
            </w:r>
          </w:p>
        </w:tc>
      </w:tr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2"/>
        </w:numPr>
        <w:spacing w:lineRule="auto" w:line="276" w:before="200" w:after="200"/>
        <w:rPr>
          <w:b/>
          <w:color w:val="000000"/>
          <w:sz w:val="22"/>
          <w:szCs w:val="22"/>
        </w:rPr>
      </w:pPr>
      <w:bookmarkStart w:id="0" w:name="_heading=h.xguiixhcjift"/>
      <w:bookmarkEnd w:id="0"/>
      <w:r>
        <w:rPr>
          <w:b/>
          <w:sz w:val="22"/>
          <w:szCs w:val="22"/>
        </w:rPr>
        <w:t>Носительство рецессивных заболеваний</w:t>
      </w:r>
    </w:p>
    <w:tbl>
      <w:tblPr>
        <w:tblStyle w:val="a6"/>
        <w:tblW w:w="99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01"/>
        <w:gridCol w:w="1985"/>
        <w:gridCol w:w="1561"/>
        <w:gridCol w:w="1699"/>
        <w:gridCol w:w="1137"/>
        <w:gridCol w:w="1273"/>
        <w:gridCol w:w="1555"/>
      </w:tblGrid>
      <w:tr>
        <w:trPr/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ru-RU" w:bidi="ar-SA"/>
              </w:rPr>
              <w:t>Ген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ru-RU" w:bidi="ar-SA"/>
              </w:rPr>
              <w:t>Ассоциированное заболевание (OMIM)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ru-RU" w:bidi="ar-SA"/>
              </w:rPr>
              <w:t>Изменение ДНК (HG38) (Изменение белка)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ru-RU" w:bidi="ar-SA"/>
              </w:rPr>
              <w:t>Зиготность (Тип наследования)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ru-RU" w:bidi="ar-SA"/>
              </w:rPr>
              <w:t>Частота*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ru-RU" w:bidi="ar-SA"/>
              </w:rPr>
              <w:t>Пато</w:t>
              <w:softHyphen/>
              <w:t>ген</w:t>
              <w:softHyphen/>
              <w:t>ность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2"/>
                <w:szCs w:val="22"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ru-RU" w:bidi="ar-SA"/>
              </w:rPr>
              <w:t>Кол-во прочтений (АЛТ/ОБЩ)</w:t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{%tr for v in carrier_variants %}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57" w:end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i/>
                <w:kern w:val="0"/>
                <w:sz w:val="22"/>
                <w:szCs w:val="22"/>
                <w:lang w:val="en-US" w:eastAsia="ru-RU" w:bidi="ar-SA"/>
              </w:rPr>
              <w:t>{{ v.gene }}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ru-RU" w:bidi="ar-SA"/>
              </w:rPr>
              <w:t>{{ v.disease }}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{{r v.variation }}</w:t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57" w:end="-57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{{r v.zygosity }}</w:t>
            </w:r>
          </w:p>
        </w:tc>
        <w:tc>
          <w:tcPr>
            <w:tcW w:w="11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{{ v.frequency }}</w:t>
            </w:r>
          </w:p>
        </w:tc>
        <w:tc>
          <w:tcPr>
            <w:tcW w:w="12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{{ v.pathogenicity }}</w:t>
            </w:r>
          </w:p>
        </w:tc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{{ v.coverage }}</w:t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{%tr else %}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57" w:end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11" w:type="dxa"/>
            <w:gridSpan w:val="7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lang w:val="en-US" w:eastAsia="ru-RU" w:bidi="ar-SA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Не обнаружено.</w:t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en-US" w:eastAsia="ru-RU" w:bidi="ar-SA"/>
              </w:rPr>
              <w:t>{%tr endfor %}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57" w:end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start="-113" w:end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* Частоты аллелей приведены по базе данных gnomAD v4.1.0 (выборка до 807,162 человек).</w:t>
      </w:r>
    </w:p>
    <w:p>
      <w:pPr>
        <w:pStyle w:val="Normal"/>
        <w:rPr/>
      </w:pPr>
      <w:r>
        <w:rPr/>
      </w:r>
    </w:p>
    <w:p>
      <w:pPr>
        <w:pStyle w:val="Heading3"/>
        <w:spacing w:lineRule="auto" w:line="27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Cs w:val="24"/>
        </w:rPr>
        <w:t>ИНТЕРПРЕТАЦИЯ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Был проведен поиск вариантов, ассоциированных с направительным диагнозом у пробанда и прочими наследственными заболеваниями со сходными фенотипическими проявлениями.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{%p for v in interpretation %}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{{ v.intro_pre }}</w:t>
      </w:r>
      <w:r>
        <w:rPr>
          <w:rFonts w:ascii="Times New Roman" w:hAnsi="Times New Roman"/>
          <w:i/>
          <w:iCs/>
        </w:rPr>
        <w:t>{{ v.gene }}</w:t>
      </w:r>
      <w:r>
        <w:rPr>
          <w:rFonts w:ascii="Times New Roman" w:hAnsi="Times New Roman"/>
        </w:rPr>
        <w:t>{{ v.intro_post }}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{%p if v.omim_pre %}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{{ v.omim_pre }}</w:t>
      </w:r>
      <w:r>
        <w:rPr>
          <w:rFonts w:ascii="Times New Roman" w:hAnsi="Times New Roman"/>
          <w:i/>
          <w:iCs/>
        </w:rPr>
        <w:t>{{ v.gene }}</w:t>
      </w:r>
      <w:r>
        <w:rPr>
          <w:rFonts w:ascii="Times New Roman" w:hAnsi="Times New Roman"/>
        </w:rPr>
        <w:t>{{ v.omim_post }}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{%p endif %}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{%p for para in v.body %}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{{ para }}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{%p endfor %}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{%p endfor %}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{{ closing }}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При анализе данных полногеномного секвенирования проводится комплексный анализ всех генов, для которых научно обоснована клиническая значимость. Особое внимание при проведении исследования уделяется генам, которые ассоциированы с развитием признаков, выявленных у пробанда, а также проверке диагностических гипотез, указанных в предварительном диагнозе. Отдельно в рамках преаналитического этапа (идентификация образца) рассматриваются генетические варианты, обнаруженные в ходе других генетических исследований.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Оценка клинической значимости (патогенности) выявленных вариантов проводилась на основании российских рекомендаций для интерпретации данных, полученных методами массового параллельного секвенирования (MPS).</w:t>
      </w:r>
    </w:p>
    <w:p>
      <w:pPr>
        <w:pStyle w:val="Normal"/>
        <w:spacing w:lineRule="auto" w:line="276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Результаты данного исследования могут быть правильно интерпретированы только врачом-генетиком.</w:t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42" w:leader="none"/>
        </w:tabs>
        <w:jc w:val="center"/>
        <w:rPr>
          <w:b/>
        </w:rPr>
      </w:pPr>
      <w:r>
        <w:rPr>
          <w:b/>
        </w:rPr>
        <w:t>ТЕХНИЧЕСКИЕ ХАРАКТЕРИСТИКИ</w:t>
      </w:r>
    </w:p>
    <w:tbl>
      <w:tblPr>
        <w:tblStyle w:val="aff8"/>
        <w:tblW w:w="9722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2941"/>
        <w:gridCol w:w="6781"/>
      </w:tblGrid>
      <w:tr>
        <w:trPr>
          <w:trHeight w:val="279" w:hRule="atLeast"/>
        </w:trPr>
        <w:tc>
          <w:tcPr>
            <w:tcW w:w="2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Метод исследования: </w:t>
            </w:r>
          </w:p>
        </w:tc>
        <w:tc>
          <w:tcPr>
            <w:tcW w:w="6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bookmarkStart w:id="1" w:name="_heading=h.gjdgxs"/>
            <w:bookmarkEnd w:id="1"/>
            <w:r>
              <w:rPr>
                <w:sz w:val="22"/>
                <w:szCs w:val="22"/>
              </w:rPr>
              <w:t xml:space="preserve">полногеномное секвенирование (Whole Genome Sequencing). </w:t>
            </w:r>
          </w:p>
        </w:tc>
      </w:tr>
      <w:tr>
        <w:trPr>
          <w:trHeight w:val="628" w:hRule="atLeast"/>
        </w:trPr>
        <w:tc>
          <w:tcPr>
            <w:tcW w:w="2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 w:end="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Средняя глубина прочтения генома после секвенирования: </w:t>
            </w:r>
          </w:p>
        </w:tc>
        <w:tc>
          <w:tcPr>
            <w:tcW w:w="6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tech.depth }}</w:t>
            </w:r>
          </w:p>
        </w:tc>
      </w:tr>
      <w:tr>
        <w:trPr>
          <w:trHeight w:val="454" w:hRule="atLeast"/>
        </w:trPr>
        <w:tc>
          <w:tcPr>
            <w:tcW w:w="2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Количество прочитанных нуклеотидов: </w:t>
            </w:r>
          </w:p>
        </w:tc>
        <w:tc>
          <w:tcPr>
            <w:tcW w:w="6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90 млрд</w:t>
            </w:r>
          </w:p>
        </w:tc>
      </w:tr>
      <w:tr>
        <w:trPr>
          <w:trHeight w:val="277" w:hRule="atLeast"/>
        </w:trPr>
        <w:tc>
          <w:tcPr>
            <w:tcW w:w="2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прочтения: </w:t>
            </w:r>
          </w:p>
        </w:tc>
        <w:tc>
          <w:tcPr>
            <w:tcW w:w="6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парно-концевое</w:t>
            </w:r>
          </w:p>
        </w:tc>
      </w:tr>
      <w:tr>
        <w:trPr>
          <w:trHeight w:val="279" w:hRule="atLeast"/>
        </w:trPr>
        <w:tc>
          <w:tcPr>
            <w:tcW w:w="2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Длина прочтения: </w:t>
            </w:r>
          </w:p>
        </w:tc>
        <w:tc>
          <w:tcPr>
            <w:tcW w:w="6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</w:tr>
      <w:tr>
        <w:trPr>
          <w:trHeight w:val="453" w:hRule="atLeast"/>
        </w:trPr>
        <w:tc>
          <w:tcPr>
            <w:tcW w:w="29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Качество выходных данных секвенирования: </w:t>
            </w:r>
          </w:p>
        </w:tc>
        <w:tc>
          <w:tcPr>
            <w:tcW w:w="6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  число прочтений с качеством Q20: не менее 90% от числа прочтений, полученных в результате секвенирования; </w:t>
            </w:r>
          </w:p>
        </w:tc>
      </w:tr>
      <w:tr>
        <w:trPr>
          <w:trHeight w:val="454" w:hRule="atLeast"/>
        </w:trPr>
        <w:tc>
          <w:tcPr>
            <w:tcW w:w="29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  число прочтений с качеством Q30: не менее 80% от числа прочтений, полученных в результате секвенирования. 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tabs>
          <w:tab w:val="clear" w:pos="720"/>
          <w:tab w:val="left" w:pos="142" w:leader="none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СПИСОК </w:t>
      </w:r>
      <w:r>
        <w:rPr>
          <w:b/>
        </w:rPr>
        <w:t>ЛИТЕРАТУРЫ</w:t>
      </w:r>
      <w:r>
        <w:rPr>
          <w:b/>
          <w:sz w:val="22"/>
          <w:szCs w:val="22"/>
        </w:rPr>
        <w:t xml:space="preserve"> И БАЗЫ ДАННЫХ </w:t>
      </w:r>
    </w:p>
    <w:p>
      <w:pPr>
        <w:pStyle w:val="Normal"/>
        <w:ind w:start="7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http://www.omim.org/ 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http://www.ncbi.nlm.nih.gov/snp/ 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http://gnomad.broadinstitute.org/ 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http://www.ncbi.nlm.nih.gov/clinvar/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https://franklin.genoox.com/clinical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http://www.ensembl.org/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https://www.uniprot.org/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www.deciphergenomics.org/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hyperlink r:id="rId2">
        <w:r>
          <w:rPr>
            <w:rStyle w:val="Style3"/>
            <w:color w:val="1155CC"/>
            <w:sz w:val="22"/>
            <w:szCs w:val="22"/>
            <w:u w:val="single"/>
          </w:rPr>
          <w:t>https://mitomap.org</w:t>
        </w:r>
      </w:hyperlink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hyperlink r:id="rId3">
        <w:r>
          <w:rPr>
            <w:rStyle w:val="Hyperlink"/>
            <w:sz w:val="22"/>
            <w:szCs w:val="22"/>
          </w:rPr>
          <w:t>https://www.clinicalgenome.org/</w:t>
        </w:r>
      </w:hyperlink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Сухих Г.Т., Трофимов Д.Ю., Шубина Е., Дегтярев Д.Н. и др. Методические рекомендации «Применение высокопроизводительного секвенирования и молекулярного кариотипирования на микроматрицах в пренатальный период». Акушерство и гинекология. 2024; 3 (Приложение): 25-43, https://dx.doi.org/10.18565/aig.2024.52</w:t>
      </w:r>
    </w:p>
    <w:p>
      <w:pPr>
        <w:pStyle w:val="Normal"/>
        <w:tabs>
          <w:tab w:val="clear" w:pos="720"/>
          <w:tab w:val="left" w:pos="142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142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142" w:leader="none"/>
        </w:tabs>
        <w:ind w:firstLine="142"/>
        <w:rPr>
          <w:sz w:val="22"/>
          <w:szCs w:val="22"/>
        </w:rPr>
      </w:pPr>
      <w:r>
        <w:rPr>
          <w:sz w:val="22"/>
          <w:szCs w:val="22"/>
        </w:rPr>
        <w:t>Дата выдачи отчета: {{ report_date }}</w:t>
      </w:r>
    </w:p>
    <w:p>
      <w:pPr>
        <w:pStyle w:val="Normal"/>
        <w:tabs>
          <w:tab w:val="clear" w:pos="720"/>
          <w:tab w:val="left" w:pos="142" w:leader="none"/>
        </w:tabs>
        <w:ind w:firstLine="142"/>
        <w:rPr>
          <w:sz w:val="22"/>
          <w:szCs w:val="22"/>
        </w:rPr>
      </w:pPr>
      <w:r>
        <w:rPr>
          <w:sz w:val="22"/>
          <w:szCs w:val="22"/>
        </w:rPr>
        <w:t xml:space="preserve">Клинический биоинформатик </w:t>
        <w:tab/>
        <w:t>{{ clinician }}</w:t>
      </w:r>
    </w:p>
    <w:p>
      <w:pPr>
        <w:pStyle w:val="Normal"/>
        <w:widowControl w:val="false"/>
        <w:tabs>
          <w:tab w:val="clear" w:pos="720"/>
          <w:tab w:val="left" w:pos="142" w:leader="none"/>
        </w:tabs>
        <w:rPr/>
      </w:pPr>
      <w:r>
        <w:rPr/>
      </w:r>
      <w:bookmarkStart w:id="2" w:name="_heading=h.30j0zll"/>
      <w:bookmarkEnd w:id="2"/>
    </w:p>
    <w:sectPr>
      <w:type w:val="nextPage"/>
      <w:pgSz w:w="11906" w:h="16838"/>
      <w:pgMar w:left="851" w:right="1133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ascii="Times New Roman" w:hAnsi="Times New Roman" w:eastAsia="Times New Roman" w:cs="Times New Roman"/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7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6e36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30abe"/>
    <w:pPr>
      <w:keepNext w:val="true"/>
      <w:keepLines/>
      <w:spacing w:lineRule="auto" w:line="259"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lineRule="auto" w:line="259" w:before="360" w:after="80"/>
      <w:outlineLvl w:val="1"/>
    </w:pPr>
    <w:rPr>
      <w:rFonts w:ascii="Calibri" w:hAnsi="Calibri" w:eastAsia="Calibri" w:cs="Calibri"/>
      <w:b/>
      <w:sz w:val="36"/>
      <w:szCs w:val="36"/>
    </w:rPr>
  </w:style>
  <w:style w:type="paragraph" w:styleId="Heading3">
    <w:name w:val="heading 3"/>
    <w:next w:val="Normal"/>
    <w:link w:val="3"/>
    <w:uiPriority w:val="9"/>
    <w:unhideWhenUsed/>
    <w:qFormat/>
    <w:rsid w:val="00891226"/>
    <w:pPr>
      <w:keepNext w:val="true"/>
      <w:keepLines/>
      <w:widowControl/>
      <w:suppressAutoHyphens w:val="true"/>
      <w:bidi w:val="0"/>
      <w:spacing w:lineRule="auto" w:line="259" w:before="0" w:after="17"/>
      <w:ind w:hanging="10" w:start="369"/>
      <w:jc w:val="center"/>
      <w:outlineLvl w:val="2"/>
    </w:pPr>
    <w:rPr>
      <w:rFonts w:ascii="Arial" w:hAnsi="Arial" w:eastAsia="Arial" w:cs="Arial"/>
      <w:b/>
      <w:color w:val="000000"/>
      <w:kern w:val="0"/>
      <w:sz w:val="24"/>
      <w:szCs w:val="22"/>
      <w:lang w:val="ru-RU" w:eastAsia="ru-RU" w:bidi="ar-S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40" w:after="40"/>
      <w:outlineLvl w:val="3"/>
    </w:pPr>
    <w:rPr>
      <w:rFonts w:ascii="Calibri" w:hAnsi="Calibri" w:eastAsia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20" w:after="40"/>
      <w:outlineLvl w:val="4"/>
    </w:pPr>
    <w:rPr>
      <w:rFonts w:ascii="Calibri" w:hAnsi="Calibri" w:eastAsia="Calibri" w:cs="Calibri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00" w:after="40"/>
      <w:outlineLvl w:val="5"/>
    </w:pPr>
    <w:rPr>
      <w:rFonts w:ascii="Calibri" w:hAnsi="Calibri" w:eastAsia="Calibri" w:cs="Calibri"/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532df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e3f04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CommentText"/>
    <w:uiPriority w:val="99"/>
    <w:semiHidden/>
    <w:qFormat/>
    <w:rsid w:val="000e3f04"/>
    <w:rPr>
      <w:sz w:val="20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0e3f04"/>
    <w:rPr>
      <w:b/>
      <w:bCs/>
      <w:sz w:val="20"/>
      <w:szCs w:val="20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981c7f"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981c7f"/>
    <w:rPr/>
  </w:style>
  <w:style w:type="character" w:styleId="Style13" w:customStyle="1">
    <w:name w:val="Основной текст Знак"/>
    <w:basedOn w:val="DefaultParagraphFont"/>
    <w:uiPriority w:val="99"/>
    <w:semiHidden/>
    <w:qFormat/>
    <w:rsid w:val="00191c42"/>
    <w:rPr/>
  </w:style>
  <w:style w:type="character" w:styleId="FontStyle13" w:customStyle="1">
    <w:name w:val="Font Style13"/>
    <w:basedOn w:val="DefaultParagraphFont"/>
    <w:uiPriority w:val="99"/>
    <w:qFormat/>
    <w:rsid w:val="00f97631"/>
    <w:rPr>
      <w:rFonts w:ascii="Times New Roman" w:hAnsi="Times New Roman" w:cs="Times New Roman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91226"/>
    <w:rPr>
      <w:rFonts w:ascii="Arial" w:hAnsi="Arial" w:eastAsia="Arial" w:cs="Arial"/>
      <w:b/>
      <w:color w:val="000000"/>
      <w:sz w:val="24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730a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7493f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7493f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0004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semiHidden/>
    <w:unhideWhenUsed/>
    <w:rsid w:val="00191c42"/>
    <w:pPr>
      <w:spacing w:lineRule="auto" w:line="259" w:before="0" w:after="120"/>
    </w:pPr>
    <w:rPr>
      <w:rFonts w:ascii="Calibri" w:hAnsi="Calibri" w:eastAsia="Calibri" w:cs="Calibri"/>
      <w:sz w:val="22"/>
      <w:szCs w:val="2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59" w:before="480" w:after="120"/>
    </w:pPr>
    <w:rPr>
      <w:rFonts w:ascii="Calibri" w:hAnsi="Calibri" w:eastAsia="Calibri" w:cs="Calibri"/>
      <w:b/>
      <w:sz w:val="72"/>
      <w:szCs w:val="72"/>
    </w:rPr>
  </w:style>
  <w:style w:type="paragraph" w:styleId="ConsPlusNormal" w:customStyle="1">
    <w:name w:val="ConsPlusNormal"/>
    <w:qFormat/>
    <w:rsid w:val="00532df3"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Calibri"/>
      <w:color w:val="auto"/>
      <w:kern w:val="0"/>
      <w:sz w:val="22"/>
      <w:szCs w:val="20"/>
      <w:lang w:val="ru-RU" w:eastAsia="ru-RU" w:bidi="ar-SA"/>
    </w:rPr>
  </w:style>
  <w:style w:type="paragraph" w:styleId="ConsPlusTitlePage" w:customStyle="1">
    <w:name w:val="ConsPlusTitlePage"/>
    <w:qFormat/>
    <w:rsid w:val="00532df3"/>
    <w:pPr>
      <w:widowControl w:val="false"/>
      <w:suppressAutoHyphens w:val="true"/>
      <w:bidi w:val="0"/>
      <w:spacing w:lineRule="auto" w:line="240" w:before="0" w:after="0"/>
      <w:jc w:val="start"/>
    </w:pPr>
    <w:rPr>
      <w:rFonts w:ascii="Tahoma" w:hAnsi="Tahoma" w:eastAsia="Times New Roman" w:cs="Tahoma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532df3"/>
    <w:pPr/>
    <w:rPr>
      <w:rFonts w:ascii="Segoe UI" w:hAnsi="Segoe UI" w:eastAsia="Calibri" w:cs="Segoe UI"/>
      <w:sz w:val="18"/>
      <w:szCs w:val="18"/>
    </w:rPr>
  </w:style>
  <w:style w:type="paragraph" w:styleId="CommentText">
    <w:name w:val="annotation text"/>
    <w:basedOn w:val="Normal"/>
    <w:link w:val="Style9"/>
    <w:uiPriority w:val="99"/>
    <w:semiHidden/>
    <w:unhideWhenUsed/>
    <w:rsid w:val="000e3f04"/>
    <w:pPr>
      <w:spacing w:before="0" w:after="160"/>
    </w:pPr>
    <w:rPr>
      <w:rFonts w:ascii="Calibri" w:hAnsi="Calibri" w:eastAsia="Calibri" w:cs="Calibri"/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0e3f0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981c7f"/>
    <w:pPr>
      <w:tabs>
        <w:tab w:val="clear" w:pos="720"/>
        <w:tab w:val="center" w:pos="4677" w:leader="none"/>
        <w:tab w:val="right" w:pos="9355" w:leader="none"/>
      </w:tabs>
    </w:pPr>
    <w:rPr>
      <w:rFonts w:ascii="Calibri" w:hAnsi="Calibri" w:eastAsia="Calibri" w:cs="Calibri"/>
      <w:sz w:val="22"/>
      <w:szCs w:val="22"/>
    </w:rPr>
  </w:style>
  <w:style w:type="paragraph" w:styleId="Footer">
    <w:name w:val="footer"/>
    <w:basedOn w:val="Normal"/>
    <w:link w:val="Style12"/>
    <w:uiPriority w:val="99"/>
    <w:unhideWhenUsed/>
    <w:rsid w:val="00981c7f"/>
    <w:pPr>
      <w:tabs>
        <w:tab w:val="clear" w:pos="720"/>
        <w:tab w:val="center" w:pos="4677" w:leader="none"/>
        <w:tab w:val="right" w:pos="9355" w:leader="none"/>
      </w:tabs>
    </w:pPr>
    <w:rPr>
      <w:rFonts w:ascii="Calibri" w:hAnsi="Calibri" w:eastAsia="Calibri" w:cs="Calibri"/>
      <w:sz w:val="22"/>
      <w:szCs w:val="22"/>
    </w:rPr>
  </w:style>
  <w:style w:type="paragraph" w:styleId="Normalunindented" w:customStyle="1">
    <w:name w:val="Normal unindented"/>
    <w:qFormat/>
    <w:rsid w:val="005e4ad5"/>
    <w:pPr>
      <w:widowControl/>
      <w:suppressAutoHyphens w:val="true"/>
      <w:bidi w:val="0"/>
      <w:spacing w:lineRule="auto" w:line="276" w:before="120" w:after="120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196f26"/>
    <w:pPr>
      <w:spacing w:lineRule="auto" w:line="259" w:before="0" w:after="160"/>
      <w:ind w:start="720"/>
      <w:contextualSpacing/>
    </w:pPr>
    <w:rPr>
      <w:rFonts w:ascii="Calibri" w:hAnsi="Calibri" w:eastAsia="Calibri" w:cs="Calibri"/>
      <w:sz w:val="22"/>
      <w:szCs w:val="22"/>
    </w:rPr>
  </w:style>
  <w:style w:type="paragraph" w:styleId="FWParties" w:customStyle="1">
    <w:name w:val="FWParties"/>
    <w:basedOn w:val="BodyText"/>
    <w:qFormat/>
    <w:rsid w:val="00191c42"/>
    <w:pPr>
      <w:numPr>
        <w:ilvl w:val="0"/>
        <w:numId w:val="2"/>
      </w:numPr>
      <w:spacing w:lineRule="auto" w:line="240" w:before="0" w:after="24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1b7d2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ableParagraph" w:customStyle="1">
    <w:name w:val="Table Paragraph"/>
    <w:basedOn w:val="Normal"/>
    <w:uiPriority w:val="1"/>
    <w:qFormat/>
    <w:rsid w:val="0077493f"/>
    <w:pPr>
      <w:widowControl w:val="false"/>
      <w:suppressAutoHyphens w:val="true"/>
      <w:ind w:start="107"/>
    </w:pPr>
    <w:rPr>
      <w:sz w:val="22"/>
      <w:szCs w:val="22"/>
      <w:lang w:bidi="ru-RU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lineRule="auto" w:line="259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6">
    <w:name w:val="Table Grid"/>
    <w:basedOn w:val="a1"/>
    <w:uiPriority w:val="59"/>
    <w:rsid w:val="00cf36f1"/>
    <w:pPr>
      <w:spacing w:after="0" w:line="240" w:lineRule="auto"/>
    </w:pPr>
    <w:rPr>
      <w:sz w:val="24"/>
      <w:szCs w:val="24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itomap.org/" TargetMode="External"/><Relationship Id="rId3" Type="http://schemas.openxmlformats.org/officeDocument/2006/relationships/hyperlink" Target="https://www.clinicalgenome.org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HaH+lXAHTXkBLLwbhDZO1KLUjHw==">AMUW2mXi4GjagKJort3dIdMPZZUQovIh1YExD9j2WRZVIXXMFgSCqSv7ZyUnkCYYfARo/BBpkjpc1Lgz1Lg0ulLPMu0nSe/1HcmsRMayAY43VXadabwX/M07n6QxftUFoQyVnGQ+th1cuICRbBnfaOPo1orTuYHYLw==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Application>LibreOffice/26.2.4.2$Linux_X86_64 LibreOffice_project/620$Build-2</Application>
  <AppVersion>15.0000</AppVersion>
  <Pages>5</Pages>
  <Words>750</Words>
  <Characters>5056</Characters>
  <CharactersWithSpaces>5614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2023-07-25T08:03:00Z</dcterms:created>
  <dc:creator>Denis Zhuykov</dc:creator>
  <dc:description/>
  <dc:language>en-US</dc:language>
  <cp:lastModifiedBy/>
  <dcterms:modified xsi:type="dcterms:W3CDTF">2026-06-17T07:15:59Z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