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ГЛОССАРИЙ ТЕРМИНОВ И АББРЕВИАТУР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используемых в дипломной работе</w:t>
      </w:r>
    </w:p>
    <w:p>
      <w:pPr>
        <w:jc w:val="center"/>
      </w:pPr>
      <w:r>
        <w:rPr>
          <w:rFonts w:ascii="Times New Roman" w:hAnsi="Times New Roman"/>
          <w:b/>
          <w:sz w:val="28"/>
        </w:rPr>
      </w:r>
    </w:p>
    <w:p>
      <w:pPr>
        <w:jc w:val="center"/>
      </w:pPr>
      <w:r>
        <w:rPr>
          <w:rFonts w:ascii="Times New Roman" w:hAnsi="Times New Roman"/>
          <w:b/>
          <w:sz w:val="28"/>
        </w:rPr>
        <w:t>«Организация рекламно-информационной работы коммерческой организации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и оценка её эффективности (на примере ООО "ФАСТ ИНЖИНИРИНГ")»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Остапенко М.Д., 38.02.04 Коммерция (по отраслям)</w:t>
      </w:r>
    </w:p>
    <w:p/>
    <w:p>
      <w:pPr>
        <w:spacing w:before="280" w:after="80"/>
      </w:pPr>
      <w:r>
        <w:rPr>
          <w:rFonts w:ascii="Times New Roman" w:hAnsi="Times New Roman"/>
          <w:b/>
          <w:color w:val="1F498B"/>
          <w:sz w:val="28"/>
        </w:rPr>
        <w:t>1. МОДЕЛИ И МЕТОДИКИ</w:t>
      </w:r>
    </w:p>
    <w:p>
      <w:pPr>
        <w:spacing w:before="160" w:after="40"/>
      </w:pPr>
      <w:r>
        <w:rPr>
          <w:rFonts w:ascii="Times New Roman" w:hAnsi="Times New Roman"/>
          <w:b/>
          <w:color w:val="1F498B"/>
          <w:sz w:val="28"/>
        </w:rPr>
        <w:t>AIDA</w:t>
      </w:r>
      <w:r>
        <w:rPr>
          <w:rFonts w:ascii="Times New Roman" w:hAnsi="Times New Roman"/>
          <w:b/>
          <w:sz w:val="28"/>
        </w:rPr>
        <w:t xml:space="preserve"> — Attention → Interest → Desire → Action</w:t>
      </w:r>
    </w:p>
    <w:p>
      <w:pPr>
        <w:spacing w:after="40"/>
        <w:ind w:firstLine="709"/>
        <w:jc w:val="both"/>
      </w:pPr>
      <w:r>
        <w:rPr>
          <w:rFonts w:ascii="Times New Roman" w:hAnsi="Times New Roman"/>
          <w:sz w:val="28"/>
        </w:rPr>
        <w:t>Классическая модель потребительского поведения, описывающая путь клиента от первого контакта с рекламой до совершения покупки. Внимание (Attention) — человек узнал о компании. Интерес (Interest) — заинтересовался продуктом. Желание (Desire) — захотел купить. Действие (Action) — оформил заявку или заключил договор. В дипломе использована для диагностики разрывов в коммуникации ООО «ФАСТ ИНЖИНИРИНГ»: выяснилось, что компания «теряет» людей уже на первом этапе — внимании.</w:t>
      </w:r>
    </w:p>
    <w:p>
      <w:pPr>
        <w:spacing w:before="160" w:after="40"/>
      </w:pPr>
      <w:r>
        <w:rPr>
          <w:rFonts w:ascii="Times New Roman" w:hAnsi="Times New Roman"/>
          <w:b/>
          <w:color w:val="1F498B"/>
          <w:sz w:val="28"/>
        </w:rPr>
        <w:t>AISAS</w:t>
      </w:r>
      <w:r>
        <w:rPr>
          <w:rFonts w:ascii="Times New Roman" w:hAnsi="Times New Roman"/>
          <w:b/>
          <w:sz w:val="28"/>
        </w:rPr>
        <w:t xml:space="preserve"> — Attention → Interest → Search → Action → Share</w:t>
      </w:r>
    </w:p>
    <w:p>
      <w:pPr>
        <w:spacing w:after="40"/>
        <w:ind w:firstLine="709"/>
        <w:jc w:val="both"/>
      </w:pPr>
      <w:r>
        <w:rPr>
          <w:rFonts w:ascii="Times New Roman" w:hAnsi="Times New Roman"/>
          <w:sz w:val="28"/>
        </w:rPr>
        <w:t>Современная расширенная версия модели AIDA, учитывающая поведение потребителя в интернете. Добавлены два этапа: Search (Поиск) — человек самостоятельно ищет информацию о продукте в интернете, и Share (Распространение) — делится мнением о покупке. Особенно актуальна для цифровых каналов продвижения.</w:t>
      </w:r>
    </w:p>
    <w:p>
      <w:pPr>
        <w:spacing w:before="160" w:after="40"/>
      </w:pPr>
      <w:r>
        <w:rPr>
          <w:rFonts w:ascii="Times New Roman" w:hAnsi="Times New Roman"/>
          <w:b/>
          <w:color w:val="1F498B"/>
          <w:sz w:val="28"/>
        </w:rPr>
        <w:t>RACE</w:t>
      </w:r>
      <w:r>
        <w:rPr>
          <w:rFonts w:ascii="Times New Roman" w:hAnsi="Times New Roman"/>
          <w:b/>
          <w:sz w:val="28"/>
        </w:rPr>
        <w:t xml:space="preserve"> — Reach → Act → Convert → Engage</w:t>
      </w:r>
    </w:p>
    <w:p>
      <w:pPr>
        <w:spacing w:after="40"/>
        <w:ind w:firstLine="709"/>
        <w:jc w:val="both"/>
      </w:pPr>
      <w:r>
        <w:rPr>
          <w:rFonts w:ascii="Times New Roman" w:hAnsi="Times New Roman"/>
          <w:sz w:val="28"/>
        </w:rPr>
        <w:t>Модель цифрового маркетинга для управления воронкой продаж онлайн. Охват (Reach) — привлечь аудиторию на сайт. Действие (Act) — побудить к взаимодействию с контентом. Конвертация (Convert) — превратить посетителя в клиента. Вовлечённость (Engage) — удержать клиента и мотивировать на повторные покупки.</w:t>
      </w:r>
    </w:p>
    <w:p>
      <w:pPr>
        <w:spacing w:before="160" w:after="40"/>
      </w:pPr>
      <w:r>
        <w:rPr>
          <w:rFonts w:ascii="Times New Roman" w:hAnsi="Times New Roman"/>
          <w:b/>
          <w:color w:val="1F498B"/>
          <w:sz w:val="28"/>
        </w:rPr>
        <w:t>SWOT-анализ</w:t>
      </w:r>
      <w:r>
        <w:rPr>
          <w:rFonts w:ascii="Times New Roman" w:hAnsi="Times New Roman"/>
          <w:b/>
          <w:sz w:val="28"/>
        </w:rPr>
        <w:t xml:space="preserve"> — Strengths, Weaknesses, Opportunities, Threats</w:t>
      </w:r>
    </w:p>
    <w:p>
      <w:pPr>
        <w:spacing w:after="40"/>
        <w:ind w:firstLine="709"/>
        <w:jc w:val="both"/>
      </w:pPr>
      <w:r>
        <w:rPr>
          <w:rFonts w:ascii="Times New Roman" w:hAnsi="Times New Roman"/>
          <w:sz w:val="28"/>
        </w:rPr>
        <w:t>Метод стратегического анализа. Оценивает четыре аспекта: Сильные стороны (Strengths) — внутренние преимущества компании. Слабые стороны (Weaknesses) — внутренние проблемы. Возможности (Opportunities) — благоприятные внешние факторы. Угрозы (Threats) — неблагоприятные внешние факторы. В дипломе применён для оценки системы рекламно-информационной работы ООО «ФАСТ ИНЖИНИРИНГ».</w:t>
      </w:r>
    </w:p>
    <w:p>
      <w:pPr>
        <w:spacing w:before="160" w:after="40"/>
      </w:pPr>
      <w:r>
        <w:rPr>
          <w:rFonts w:ascii="Times New Roman" w:hAnsi="Times New Roman"/>
          <w:b/>
          <w:color w:val="1F498B"/>
          <w:sz w:val="28"/>
        </w:rPr>
        <w:t>PEST-анализ</w:t>
      </w:r>
      <w:r>
        <w:rPr>
          <w:rFonts w:ascii="Times New Roman" w:hAnsi="Times New Roman"/>
          <w:b/>
          <w:sz w:val="28"/>
        </w:rPr>
        <w:t xml:space="preserve"> — Political, Economic, Social, Technological</w:t>
      </w:r>
    </w:p>
    <w:p>
      <w:pPr>
        <w:spacing w:after="40"/>
        <w:ind w:firstLine="709"/>
        <w:jc w:val="both"/>
      </w:pPr>
      <w:r>
        <w:rPr>
          <w:rFonts w:ascii="Times New Roman" w:hAnsi="Times New Roman"/>
          <w:sz w:val="28"/>
        </w:rPr>
        <w:t>Метод анализа внешней среды предприятия по четырём группам факторов: политические, экономические, социальные и технологические. Помогает понять, какие внешние условия влияют на бизнес. В дипломе использован для характеристики рыночной среды, в которой работает компания.</w:t>
      </w:r>
    </w:p>
    <w:p>
      <w:pPr>
        <w:spacing w:before="160" w:after="40"/>
      </w:pPr>
      <w:r>
        <w:rPr>
          <w:rFonts w:ascii="Times New Roman" w:hAnsi="Times New Roman"/>
          <w:b/>
          <w:color w:val="1F498B"/>
          <w:sz w:val="28"/>
        </w:rPr>
        <w:t>SMART</w:t>
      </w:r>
      <w:r>
        <w:rPr>
          <w:rFonts w:ascii="Times New Roman" w:hAnsi="Times New Roman"/>
          <w:b/>
          <w:sz w:val="28"/>
        </w:rPr>
        <w:t xml:space="preserve"> — Specific, Measurable, Achievable, Relevant, Time-bound</w:t>
      </w:r>
    </w:p>
    <w:p>
      <w:pPr>
        <w:spacing w:after="40"/>
        <w:ind w:firstLine="709"/>
        <w:jc w:val="both"/>
      </w:pPr>
      <w:r>
        <w:rPr>
          <w:rFonts w:ascii="Times New Roman" w:hAnsi="Times New Roman"/>
          <w:sz w:val="28"/>
        </w:rPr>
        <w:t>Критерии для правильной постановки целей. Цель должна быть: конкретной (Specific), измеримой (Measurable), достижимой (Achievable), значимой (Relevant) и ограниченной по времени (Time-bound). В дипломе — требование к постановке целей рекламно-информационной работы.</w:t>
      </w:r>
    </w:p>
    <w:p>
      <w:pPr>
        <w:spacing w:before="160" w:after="40"/>
      </w:pPr>
      <w:r>
        <w:rPr>
          <w:rFonts w:ascii="Times New Roman" w:hAnsi="Times New Roman"/>
          <w:b/>
          <w:color w:val="1F498B"/>
          <w:sz w:val="28"/>
        </w:rPr>
        <w:t>СИЭР</w:t>
      </w:r>
      <w:r>
        <w:rPr>
          <w:rFonts w:ascii="Times New Roman" w:hAnsi="Times New Roman"/>
          <w:b/>
          <w:sz w:val="28"/>
        </w:rPr>
        <w:t xml:space="preserve"> — Сводный Индекс Эффективности Рекламно-информационной работы</w:t>
      </w:r>
    </w:p>
    <w:p>
      <w:pPr>
        <w:spacing w:after="40"/>
        <w:ind w:firstLine="709"/>
        <w:jc w:val="both"/>
      </w:pPr>
      <w:r>
        <w:rPr>
          <w:rFonts w:ascii="Times New Roman" w:hAnsi="Times New Roman"/>
          <w:sz w:val="28"/>
        </w:rPr>
        <w:t>Авторская методика, разработанная в рамках дипломной работы. Представляет собой трёхуровневую систему оценки: 1) диагностика барьеров коммуникации (какое звено сломано), 2) расчёт метрик воронки продаж (CPL, CAC, ROMI), 3) сценарный анализ окупаемости (три варианта: пессимистический, реалистический, оптимистический). Адаптирована специально для микропредприятий B2B-сегмента с длительным циклом сделки.</w:t>
      </w:r>
    </w:p>
    <w:p>
      <w:pPr>
        <w:spacing w:before="280" w:after="80"/>
      </w:pPr>
      <w:r>
        <w:rPr>
          <w:rFonts w:ascii="Times New Roman" w:hAnsi="Times New Roman"/>
          <w:b/>
          <w:color w:val="1F498B"/>
          <w:sz w:val="28"/>
        </w:rPr>
        <w:t>2. МЕТРИКИ ЭФФЕКТИВНОСТИ РЕКЛАМЫ</w:t>
      </w:r>
    </w:p>
    <w:p>
      <w:pPr>
        <w:spacing w:before="160" w:after="40"/>
      </w:pPr>
      <w:r>
        <w:rPr>
          <w:rFonts w:ascii="Times New Roman" w:hAnsi="Times New Roman"/>
          <w:b/>
          <w:color w:val="1F498B"/>
          <w:sz w:val="28"/>
        </w:rPr>
        <w:t>ROMI</w:t>
      </w:r>
      <w:r>
        <w:rPr>
          <w:rFonts w:ascii="Times New Roman" w:hAnsi="Times New Roman"/>
          <w:b/>
          <w:sz w:val="28"/>
        </w:rPr>
        <w:t xml:space="preserve"> — Return on Marketing Investment — рентабельность маркетинговых инвестиций</w:t>
      </w:r>
    </w:p>
    <w:p>
      <w:pPr>
        <w:spacing w:after="40"/>
        <w:ind w:firstLine="709"/>
        <w:jc w:val="both"/>
      </w:pPr>
      <w:r>
        <w:rPr>
          <w:rFonts w:ascii="Times New Roman" w:hAnsi="Times New Roman"/>
          <w:sz w:val="28"/>
        </w:rPr>
        <w:t>Показывает, сколько рублей прибыли принёс каждый рубль, вложенный в рекламу. Формула: ROMI = (Прибыль от продаж ÷ Бюджет рекламы) × 100%. В реалистичном сценарии дипломной работы: ROMI = (1 575 ÷ 2 000) × 100% = 78,8%. Это значит, что каждый вложенный рубль возвращает 0,79 рубля валовой прибыли в первый год.</w:t>
      </w:r>
    </w:p>
    <w:p>
      <w:pPr>
        <w:spacing w:before="160" w:after="40"/>
      </w:pPr>
      <w:r>
        <w:rPr>
          <w:rFonts w:ascii="Times New Roman" w:hAnsi="Times New Roman"/>
          <w:b/>
          <w:color w:val="1F498B"/>
          <w:sz w:val="28"/>
        </w:rPr>
        <w:t>ROAS</w:t>
      </w:r>
      <w:r>
        <w:rPr>
          <w:rFonts w:ascii="Times New Roman" w:hAnsi="Times New Roman"/>
          <w:b/>
          <w:sz w:val="28"/>
        </w:rPr>
        <w:t xml:space="preserve"> — Return on Ad Spend — доходность рекламных расходов</w:t>
      </w:r>
    </w:p>
    <w:p>
      <w:pPr>
        <w:spacing w:after="40"/>
        <w:ind w:firstLine="709"/>
        <w:jc w:val="both"/>
      </w:pPr>
      <w:r>
        <w:rPr>
          <w:rFonts w:ascii="Times New Roman" w:hAnsi="Times New Roman"/>
          <w:sz w:val="28"/>
        </w:rPr>
        <w:t>Показывает, сколько рублей выручки (не прибыли!) принёс каждый рубль рекламного бюджета. Формула: ROAS = Выручка ÷ Рекламный бюджет. Отличие от ROMI: ROAS считается от выручки, ROMI — от прибыли. ROAS всегда выше ROMI, поскольку прибыль — часть выручки.</w:t>
      </w:r>
    </w:p>
    <w:p>
      <w:pPr>
        <w:spacing w:before="160" w:after="40"/>
      </w:pPr>
      <w:r>
        <w:rPr>
          <w:rFonts w:ascii="Times New Roman" w:hAnsi="Times New Roman"/>
          <w:b/>
          <w:color w:val="1F498B"/>
          <w:sz w:val="28"/>
        </w:rPr>
        <w:t>ROI</w:t>
      </w:r>
      <w:r>
        <w:rPr>
          <w:rFonts w:ascii="Times New Roman" w:hAnsi="Times New Roman"/>
          <w:b/>
          <w:sz w:val="28"/>
        </w:rPr>
        <w:t xml:space="preserve"> — Return on Investment — возврат на инвестиции</w:t>
      </w:r>
    </w:p>
    <w:p>
      <w:pPr>
        <w:spacing w:after="40"/>
        <w:ind w:firstLine="709"/>
        <w:jc w:val="both"/>
      </w:pPr>
      <w:r>
        <w:rPr>
          <w:rFonts w:ascii="Times New Roman" w:hAnsi="Times New Roman"/>
          <w:sz w:val="28"/>
        </w:rPr>
        <w:t>Общий показатель окупаемости любых вложений. Формула: ROI = ((Доход − Затраты) ÷ Затраты) × 100%. ROMI — это частный случай ROI, применяемый именно к маркетинговым расходам.</w:t>
      </w:r>
    </w:p>
    <w:p>
      <w:pPr>
        <w:spacing w:before="160" w:after="40"/>
      </w:pPr>
      <w:r>
        <w:rPr>
          <w:rFonts w:ascii="Times New Roman" w:hAnsi="Times New Roman"/>
          <w:b/>
          <w:color w:val="1F498B"/>
          <w:sz w:val="28"/>
        </w:rPr>
        <w:t>CPL</w:t>
      </w:r>
      <w:r>
        <w:rPr>
          <w:rFonts w:ascii="Times New Roman" w:hAnsi="Times New Roman"/>
          <w:b/>
          <w:sz w:val="28"/>
        </w:rPr>
        <w:t xml:space="preserve"> — Cost Per Lead — стоимость одного лида (обращения)</w:t>
      </w:r>
    </w:p>
    <w:p>
      <w:pPr>
        <w:spacing w:after="40"/>
        <w:ind w:firstLine="709"/>
        <w:jc w:val="both"/>
      </w:pPr>
      <w:r>
        <w:rPr>
          <w:rFonts w:ascii="Times New Roman" w:hAnsi="Times New Roman"/>
          <w:sz w:val="28"/>
        </w:rPr>
        <w:t>Показывает, сколько денег потрачено на рекламу, чтобы получить одно входящее обращение от потенциального клиента. Формула: CPL = Рекламный бюджет ÷ Количество лидов. В реалистичном сценарии: CPL = 2 000 ÷ 300 = 6,7 тыс. руб. за один лид.</w:t>
      </w:r>
    </w:p>
    <w:p>
      <w:pPr>
        <w:spacing w:before="160" w:after="40"/>
      </w:pPr>
      <w:r>
        <w:rPr>
          <w:rFonts w:ascii="Times New Roman" w:hAnsi="Times New Roman"/>
          <w:b/>
          <w:color w:val="1F498B"/>
          <w:sz w:val="28"/>
        </w:rPr>
        <w:t>CAC</w:t>
      </w:r>
      <w:r>
        <w:rPr>
          <w:rFonts w:ascii="Times New Roman" w:hAnsi="Times New Roman"/>
          <w:b/>
          <w:sz w:val="28"/>
        </w:rPr>
        <w:t xml:space="preserve"> — Customer Acquisition Cost — стоимость привлечения одного клиента</w:t>
      </w:r>
    </w:p>
    <w:p>
      <w:pPr>
        <w:spacing w:after="40"/>
        <w:ind w:firstLine="709"/>
        <w:jc w:val="both"/>
      </w:pPr>
      <w:r>
        <w:rPr>
          <w:rFonts w:ascii="Times New Roman" w:hAnsi="Times New Roman"/>
          <w:sz w:val="28"/>
        </w:rPr>
        <w:t>Показывает, во сколько обходится привлечение одного реального заказчика, подписавшего договор. Формула: CAC = Рекламный бюджет ÷ Количество заключённых договоров. В реалистичном сценарии: CAC = 2 000 ÷ 6 = 333,3 тыс. руб. Чем ниже CAC при высоком среднем чеке — тем эффективнее реклама.</w:t>
      </w:r>
    </w:p>
    <w:p>
      <w:pPr>
        <w:spacing w:before="160" w:after="40"/>
      </w:pPr>
      <w:r>
        <w:rPr>
          <w:rFonts w:ascii="Times New Roman" w:hAnsi="Times New Roman"/>
          <w:b/>
          <w:color w:val="1F498B"/>
          <w:sz w:val="28"/>
        </w:rPr>
        <w:t>CTR</w:t>
      </w:r>
      <w:r>
        <w:rPr>
          <w:rFonts w:ascii="Times New Roman" w:hAnsi="Times New Roman"/>
          <w:b/>
          <w:sz w:val="28"/>
        </w:rPr>
        <w:t xml:space="preserve"> — Click-Through Rate — кликабельность объявления</w:t>
      </w:r>
    </w:p>
    <w:p>
      <w:pPr>
        <w:spacing w:after="40"/>
        <w:ind w:firstLine="709"/>
        <w:jc w:val="both"/>
      </w:pPr>
      <w:r>
        <w:rPr>
          <w:rFonts w:ascii="Times New Roman" w:hAnsi="Times New Roman"/>
          <w:sz w:val="28"/>
        </w:rPr>
        <w:t>Доля пользователей, кликнувших на рекламное объявление, от общего числа тех, кто его увидел. Формула: CTR = (Клики ÷ Показы) × 100%. Например, CTR = 2% означает, что из 100 увидевших объявление 2 человека на него нажали. Используется для оценки качества рекламных объявлений в Яндекс.Директе и других системах.</w:t>
      </w:r>
    </w:p>
    <w:p>
      <w:pPr>
        <w:spacing w:before="160" w:after="40"/>
      </w:pPr>
      <w:r>
        <w:rPr>
          <w:rFonts w:ascii="Times New Roman" w:hAnsi="Times New Roman"/>
          <w:b/>
          <w:color w:val="1F498B"/>
          <w:sz w:val="28"/>
        </w:rPr>
        <w:t>MQL</w:t>
      </w:r>
      <w:r>
        <w:rPr>
          <w:rFonts w:ascii="Times New Roman" w:hAnsi="Times New Roman"/>
          <w:b/>
          <w:sz w:val="28"/>
        </w:rPr>
        <w:t xml:space="preserve"> — Marketing Qualified Lead — квалифицированный маркетинговый лид</w:t>
      </w:r>
    </w:p>
    <w:p>
      <w:pPr>
        <w:spacing w:after="40"/>
        <w:ind w:firstLine="709"/>
        <w:jc w:val="both"/>
      </w:pPr>
      <w:r>
        <w:rPr>
          <w:rFonts w:ascii="Times New Roman" w:hAnsi="Times New Roman"/>
          <w:sz w:val="28"/>
        </w:rPr>
        <w:t>Потенциальный клиент, который проявил интерес к продукту (оставил заявку, скачал материал, задал вопрос), но ещё не готов к подписанию договора. В отличие от «холодного» лида, MQL уже знаком с компанией. В дипломе принята доля MQL в общем потоке обращений — 40% в реалистичном сценарии.</w:t>
      </w:r>
    </w:p>
    <w:p>
      <w:pPr>
        <w:spacing w:before="280" w:after="80"/>
      </w:pPr>
      <w:r>
        <w:rPr>
          <w:rFonts w:ascii="Times New Roman" w:hAnsi="Times New Roman"/>
          <w:b/>
          <w:color w:val="1F498B"/>
          <w:sz w:val="28"/>
        </w:rPr>
        <w:t>3. ИНСТРУМЕНТЫ И КАНАЛЫ ПРОДВИЖЕНИЯ</w:t>
      </w:r>
    </w:p>
    <w:p>
      <w:pPr>
        <w:spacing w:before="160" w:after="40"/>
      </w:pPr>
      <w:r>
        <w:rPr>
          <w:rFonts w:ascii="Times New Roman" w:hAnsi="Times New Roman"/>
          <w:b/>
          <w:color w:val="1F498B"/>
          <w:sz w:val="28"/>
        </w:rPr>
        <w:t>SEO</w:t>
      </w:r>
      <w:r>
        <w:rPr>
          <w:rFonts w:ascii="Times New Roman" w:hAnsi="Times New Roman"/>
          <w:b/>
          <w:sz w:val="28"/>
        </w:rPr>
        <w:t xml:space="preserve"> — Search Engine Optimization — поисковая оптимизация</w:t>
      </w:r>
    </w:p>
    <w:p>
      <w:pPr>
        <w:spacing w:after="40"/>
        <w:ind w:firstLine="709"/>
        <w:jc w:val="both"/>
      </w:pPr>
      <w:r>
        <w:rPr>
          <w:rFonts w:ascii="Times New Roman" w:hAnsi="Times New Roman"/>
          <w:sz w:val="28"/>
        </w:rPr>
        <w:t>Комплекс работ по улучшению позиций сайта в поисковых системах (Яндекс, Google) по целевым запросам. Например, чтобы по запросу «теплообменный аппарат купить» сайт компании появлялся в первой десятке результатов. Эффект накопительный — первые результаты видны через 3–6 месяцев. В медиаплане выделено 300 тыс. рублей на SEO.</w:t>
      </w:r>
    </w:p>
    <w:p>
      <w:pPr>
        <w:spacing w:before="160" w:after="40"/>
      </w:pPr>
      <w:r>
        <w:rPr>
          <w:rFonts w:ascii="Times New Roman" w:hAnsi="Times New Roman"/>
          <w:b/>
          <w:color w:val="1F498B"/>
          <w:sz w:val="28"/>
        </w:rPr>
        <w:t>CRM</w:t>
      </w:r>
      <w:r>
        <w:rPr>
          <w:rFonts w:ascii="Times New Roman" w:hAnsi="Times New Roman"/>
          <w:b/>
          <w:sz w:val="28"/>
        </w:rPr>
        <w:t xml:space="preserve"> — Customer Relationship Management — система управления взаимоотношениями с клиентами</w:t>
      </w:r>
    </w:p>
    <w:p>
      <w:pPr>
        <w:spacing w:after="40"/>
        <w:ind w:firstLine="709"/>
        <w:jc w:val="both"/>
      </w:pPr>
      <w:r>
        <w:rPr>
          <w:rFonts w:ascii="Times New Roman" w:hAnsi="Times New Roman"/>
          <w:sz w:val="28"/>
        </w:rPr>
        <w:t>Программное обеспечение для учёта всех обращений, лидов, сделок и переписки с клиентами. Позволяет не терять заявки, видеть историю каждого контакта, анализировать эффективность каналов продаж. В дипломе рекомендована система «Битрикс24» как отечественное решение. В медиаплане — 350 тыс. рублей.</w:t>
      </w:r>
    </w:p>
    <w:p>
      <w:pPr>
        <w:spacing w:before="160" w:after="40"/>
      </w:pPr>
      <w:r>
        <w:rPr>
          <w:rFonts w:ascii="Times New Roman" w:hAnsi="Times New Roman"/>
          <w:b/>
          <w:color w:val="1F498B"/>
          <w:sz w:val="28"/>
        </w:rPr>
        <w:t>SMM</w:t>
      </w:r>
      <w:r>
        <w:rPr>
          <w:rFonts w:ascii="Times New Roman" w:hAnsi="Times New Roman"/>
          <w:b/>
          <w:sz w:val="28"/>
        </w:rPr>
        <w:t xml:space="preserve"> — Social Media Marketing — маркетинг в социальных сетях</w:t>
      </w:r>
    </w:p>
    <w:p>
      <w:pPr>
        <w:spacing w:after="40"/>
        <w:ind w:firstLine="709"/>
        <w:jc w:val="both"/>
      </w:pPr>
      <w:r>
        <w:rPr>
          <w:rFonts w:ascii="Times New Roman" w:hAnsi="Times New Roman"/>
          <w:sz w:val="28"/>
        </w:rPr>
        <w:t>Продвижение компании через социальные сети: ВКонтакте, Telegram, Rutube, VK Видео. Включает создание контента, общение с аудиторией, таргетированную рекламу. Для B2B используется преимущественно в формате экспертного контент-маркетинга.</w:t>
      </w:r>
    </w:p>
    <w:p>
      <w:pPr>
        <w:spacing w:before="160" w:after="40"/>
      </w:pPr>
      <w:r>
        <w:rPr>
          <w:rFonts w:ascii="Times New Roman" w:hAnsi="Times New Roman"/>
          <w:b/>
          <w:color w:val="1F498B"/>
          <w:sz w:val="28"/>
        </w:rPr>
        <w:t>KPI</w:t>
      </w:r>
      <w:r>
        <w:rPr>
          <w:rFonts w:ascii="Times New Roman" w:hAnsi="Times New Roman"/>
          <w:b/>
          <w:sz w:val="28"/>
        </w:rPr>
        <w:t xml:space="preserve"> — Key Performance Indicators — ключевые показатели эффективности</w:t>
      </w:r>
    </w:p>
    <w:p>
      <w:pPr>
        <w:spacing w:after="40"/>
        <w:ind w:firstLine="709"/>
        <w:jc w:val="both"/>
      </w:pPr>
      <w:r>
        <w:rPr>
          <w:rFonts w:ascii="Times New Roman" w:hAnsi="Times New Roman"/>
          <w:sz w:val="28"/>
        </w:rPr>
        <w:t>Измеримые цифровые показатели, по которым оценивается достижение целей. Для рекламно-информационной работы ООО «ФАСТ ИНЖИНИРИНГ» KPI включают: среднемесячное число входящих обращений (цель — 25), количество договоров в год (цель — 6), посещаемость сайта (цель — 2 500 чел./мес.), конверсия сайта (цель — 1,2%). KPI анализируются ежеквартально.</w:t>
      </w:r>
    </w:p>
    <w:p>
      <w:pPr>
        <w:spacing w:before="160" w:after="40"/>
      </w:pPr>
      <w:r>
        <w:rPr>
          <w:rFonts w:ascii="Times New Roman" w:hAnsi="Times New Roman"/>
          <w:b/>
          <w:color w:val="1F498B"/>
          <w:sz w:val="28"/>
        </w:rPr>
        <w:t>ТКП</w:t>
      </w:r>
      <w:r>
        <w:rPr>
          <w:rFonts w:ascii="Times New Roman" w:hAnsi="Times New Roman"/>
          <w:b/>
          <w:sz w:val="28"/>
        </w:rPr>
        <w:t xml:space="preserve"> — Технико-коммерческое предложение</w:t>
      </w:r>
    </w:p>
    <w:p>
      <w:pPr>
        <w:spacing w:after="40"/>
        <w:ind w:firstLine="709"/>
        <w:jc w:val="both"/>
      </w:pPr>
      <w:r>
        <w:rPr>
          <w:rFonts w:ascii="Times New Roman" w:hAnsi="Times New Roman"/>
          <w:sz w:val="28"/>
        </w:rPr>
        <w:t>Документ, который B2B-компания отправляет потенциальному заказчику в ответ на запрос. Содержит технические характеристики предлагаемого оборудования, условия поставки и цену. Для ООО «ФАСТ ИНЖИНИРИНГ» запрос ТКП — ключевое целевое действие на сайте: именно форма запроса ТКП должна быть добавлена при модернизации сайта.</w:t>
      </w:r>
    </w:p>
    <w:p>
      <w:pPr>
        <w:spacing w:before="280" w:after="80"/>
      </w:pPr>
      <w:r>
        <w:rPr>
          <w:rFonts w:ascii="Times New Roman" w:hAnsi="Times New Roman"/>
          <w:b/>
          <w:color w:val="1F498B"/>
          <w:sz w:val="28"/>
        </w:rPr>
        <w:t>4. ТИПЫ РЫНКОВ И БИЗНЕС-МОДЕЛЕЙ</w:t>
      </w:r>
    </w:p>
    <w:p>
      <w:pPr>
        <w:spacing w:before="160" w:after="40"/>
      </w:pPr>
      <w:r>
        <w:rPr>
          <w:rFonts w:ascii="Times New Roman" w:hAnsi="Times New Roman"/>
          <w:b/>
          <w:color w:val="1F498B"/>
          <w:sz w:val="28"/>
        </w:rPr>
        <w:t>B2B</w:t>
      </w:r>
      <w:r>
        <w:rPr>
          <w:rFonts w:ascii="Times New Roman" w:hAnsi="Times New Roman"/>
          <w:b/>
          <w:sz w:val="28"/>
        </w:rPr>
        <w:t xml:space="preserve"> — Business to Business — бизнес для бизнеса</w:t>
      </w:r>
    </w:p>
    <w:p>
      <w:pPr>
        <w:spacing w:after="40"/>
        <w:ind w:firstLine="709"/>
        <w:jc w:val="both"/>
      </w:pPr>
      <w:r>
        <w:rPr>
          <w:rFonts w:ascii="Times New Roman" w:hAnsi="Times New Roman"/>
          <w:sz w:val="28"/>
        </w:rPr>
        <w:t>Модель, при которой компания продаёт товары или услуги другим компаниям, а не конечным потребителям. Особенности: длинный цикл сделки (6–18 месяцев), высокий средний чек, решение принимается группой лиц (закупочный центр), рациональные аргументы важнее эмоциональных. ООО «ФАСТ ИНЖИНИРИНГ» — типичный B2B-игрок: продаёт промышленное оборудование заводам.</w:t>
      </w:r>
    </w:p>
    <w:p>
      <w:pPr>
        <w:spacing w:before="160" w:after="40"/>
      </w:pPr>
      <w:r>
        <w:rPr>
          <w:rFonts w:ascii="Times New Roman" w:hAnsi="Times New Roman"/>
          <w:b/>
          <w:color w:val="1F498B"/>
          <w:sz w:val="28"/>
        </w:rPr>
        <w:t>B2C</w:t>
      </w:r>
      <w:r>
        <w:rPr>
          <w:rFonts w:ascii="Times New Roman" w:hAnsi="Times New Roman"/>
          <w:b/>
          <w:sz w:val="28"/>
        </w:rPr>
        <w:t xml:space="preserve"> — Business to Consumer — бизнес для потребителя</w:t>
      </w:r>
    </w:p>
    <w:p>
      <w:pPr>
        <w:spacing w:after="40"/>
        <w:ind w:firstLine="709"/>
        <w:jc w:val="both"/>
      </w:pPr>
      <w:r>
        <w:rPr>
          <w:rFonts w:ascii="Times New Roman" w:hAnsi="Times New Roman"/>
          <w:sz w:val="28"/>
        </w:rPr>
        <w:t>Модель, при которой компания продаёт товары или услуги напрямую конечному потребителю — физическому лицу. Примеры: магазины, рестораны, онлайн-сервисы. Цикл сделки короткий, решение принимается индивидуально, эмоциональные мотивы играют большую роль. Большинство методик рекламы разработаны именно под B2C, что создаёт сложности при их применении в B2B.</w:t>
      </w:r>
    </w:p>
    <w:p>
      <w:pPr>
        <w:spacing w:before="280" w:after="80"/>
      </w:pPr>
      <w:r>
        <w:rPr>
          <w:rFonts w:ascii="Times New Roman" w:hAnsi="Times New Roman"/>
          <w:b/>
          <w:color w:val="1F498B"/>
          <w:sz w:val="28"/>
        </w:rPr>
        <w:t>5. ПРАВОВЫЕ И РЕГУЛЯТОРНЫЕ ТЕРМИНЫ</w:t>
      </w:r>
    </w:p>
    <w:p>
      <w:pPr>
        <w:spacing w:before="160" w:after="40"/>
      </w:pPr>
      <w:r>
        <w:rPr>
          <w:rFonts w:ascii="Times New Roman" w:hAnsi="Times New Roman"/>
          <w:b/>
          <w:color w:val="1F498B"/>
          <w:sz w:val="28"/>
        </w:rPr>
        <w:t>ФЗ №38-ФЗ «О рекламе»</w:t>
      </w:r>
      <w:r>
        <w:rPr>
          <w:rFonts w:ascii="Times New Roman" w:hAnsi="Times New Roman"/>
          <w:b/>
          <w:sz w:val="28"/>
        </w:rPr>
        <w:t xml:space="preserve"> — Федеральный закон от 13 марта 2006 г.</w:t>
      </w:r>
    </w:p>
    <w:p>
      <w:pPr>
        <w:spacing w:after="40"/>
        <w:ind w:firstLine="709"/>
        <w:jc w:val="both"/>
      </w:pPr>
      <w:r>
        <w:rPr>
          <w:rFonts w:ascii="Times New Roman" w:hAnsi="Times New Roman"/>
          <w:sz w:val="28"/>
        </w:rPr>
        <w:t>Основной закон, регулирующий рекламную деятельность в России. Определяет понятие рекламы, требования к её содержанию (достоверность, добросовестность), запрещённые виды рекламы, требования к маркировке. Поправки 2022–2023 годов ввели обязательную маркировку интернет-рекламы токеном и передачу данных в ЕРИР.</w:t>
      </w:r>
    </w:p>
    <w:p>
      <w:pPr>
        <w:spacing w:before="160" w:after="40"/>
      </w:pPr>
      <w:r>
        <w:rPr>
          <w:rFonts w:ascii="Times New Roman" w:hAnsi="Times New Roman"/>
          <w:b/>
          <w:color w:val="1F498B"/>
          <w:sz w:val="28"/>
        </w:rPr>
        <w:t>ЕРИР</w:t>
      </w:r>
      <w:r>
        <w:rPr>
          <w:rFonts w:ascii="Times New Roman" w:hAnsi="Times New Roman"/>
          <w:b/>
          <w:sz w:val="28"/>
        </w:rPr>
        <w:t xml:space="preserve"> — Единый реестр интернет-рекламы</w:t>
      </w:r>
    </w:p>
    <w:p>
      <w:pPr>
        <w:spacing w:after="40"/>
        <w:ind w:firstLine="709"/>
        <w:jc w:val="both"/>
      </w:pPr>
      <w:r>
        <w:rPr>
          <w:rFonts w:ascii="Times New Roman" w:hAnsi="Times New Roman"/>
          <w:sz w:val="28"/>
        </w:rPr>
        <w:t>Государственная база данных, в которую операторы рекламных данных (ОРД) обязаны передавать сведения обо всей интернет-рекламе, размещённой в России. Создан по поправкам 2022–2023 годов к ФЗ №38-ФЗ. Ведётся Роскомнадзором. Цель — обеспечить прозрачность рекламного рынка и контроль за иностранными рекламными платформами.</w:t>
      </w:r>
    </w:p>
    <w:p>
      <w:pPr>
        <w:spacing w:before="160" w:after="40"/>
      </w:pPr>
      <w:r>
        <w:rPr>
          <w:rFonts w:ascii="Times New Roman" w:hAnsi="Times New Roman"/>
          <w:b/>
          <w:color w:val="1F498B"/>
          <w:sz w:val="28"/>
        </w:rPr>
        <w:t>ОРД</w:t>
      </w:r>
      <w:r>
        <w:rPr>
          <w:rFonts w:ascii="Times New Roman" w:hAnsi="Times New Roman"/>
          <w:b/>
          <w:sz w:val="28"/>
        </w:rPr>
        <w:t xml:space="preserve"> — Оператор рекламных данных</w:t>
      </w:r>
    </w:p>
    <w:p>
      <w:pPr>
        <w:spacing w:after="40"/>
        <w:ind w:firstLine="709"/>
        <w:jc w:val="both"/>
      </w:pPr>
      <w:r>
        <w:rPr>
          <w:rFonts w:ascii="Times New Roman" w:hAnsi="Times New Roman"/>
          <w:sz w:val="28"/>
        </w:rPr>
        <w:t>Организация-посредник между рекламодателем и ЕРИР. Принимает данные о рекламных кампаниях, присваивает каждому объявлению уникальный токен (идентификатор) и передаёт информацию в реестр Роскомнадзора. Крупнейшие ОРД: Яндекс ОРД, VK ОРД, Сбер ОРД, МТС ОРД.</w:t>
      </w:r>
    </w:p>
    <w:p>
      <w:pPr>
        <w:spacing w:before="160" w:after="40"/>
      </w:pPr>
      <w:r>
        <w:rPr>
          <w:rFonts w:ascii="Times New Roman" w:hAnsi="Times New Roman"/>
          <w:b/>
          <w:color w:val="1F498B"/>
          <w:sz w:val="28"/>
        </w:rPr>
        <w:t>ФАС</w:t>
      </w:r>
      <w:r>
        <w:rPr>
          <w:rFonts w:ascii="Times New Roman" w:hAnsi="Times New Roman"/>
          <w:b/>
          <w:sz w:val="28"/>
        </w:rPr>
        <w:t xml:space="preserve"> — Федеральная антимонопольная служба</w:t>
      </w:r>
    </w:p>
    <w:p>
      <w:pPr>
        <w:spacing w:after="40"/>
        <w:ind w:firstLine="709"/>
        <w:jc w:val="both"/>
      </w:pPr>
      <w:r>
        <w:rPr>
          <w:rFonts w:ascii="Times New Roman" w:hAnsi="Times New Roman"/>
          <w:sz w:val="28"/>
        </w:rPr>
        <w:t>Государственный орган, контролирующий соблюдение законодательства о рекламе в России. Рассматривает жалобы на недобросовестную или недостоверную рекламу, выносит предписания и штрафы. В дипломе упоминается в контексте регуляторного давления на рекламный рынок.</w:t>
      </w:r>
    </w:p>
    <w:p>
      <w:pPr>
        <w:spacing w:before="160" w:after="40"/>
      </w:pPr>
      <w:r>
        <w:rPr>
          <w:rFonts w:ascii="Times New Roman" w:hAnsi="Times New Roman"/>
          <w:b/>
          <w:color w:val="1F498B"/>
          <w:sz w:val="28"/>
        </w:rPr>
        <w:t>МТК МЭР</w:t>
      </w:r>
      <w:r>
        <w:rPr>
          <w:rFonts w:ascii="Times New Roman" w:hAnsi="Times New Roman"/>
          <w:b/>
          <w:sz w:val="28"/>
        </w:rPr>
        <w:t xml:space="preserve"> — Малая технологическая компания Министерства экономического развития</w:t>
      </w:r>
    </w:p>
    <w:p>
      <w:pPr>
        <w:spacing w:after="40"/>
        <w:ind w:firstLine="709"/>
        <w:jc w:val="both"/>
      </w:pPr>
      <w:r>
        <w:rPr>
          <w:rFonts w:ascii="Times New Roman" w:hAnsi="Times New Roman"/>
          <w:sz w:val="28"/>
        </w:rPr>
        <w:t>Официальный статус, присваиваемый малым и средним предприятиям, ведущим технологическую деятельность. Даёт право на ряд льгот и мер государственной поддержки. ООО «ФАСТ ИНЖИНИРИНГ» получило этот статус 21 января 2026 года.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