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РЕЧЬ К ЗАЩИТЕ ДИПЛОМНОЙ РАБОТЫ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«Организация рекламно-информационной работы коммерческой организации и оценка её эффективности (на примере ООО "ФАСТ ИНЖИНИРИНГ")»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Студент: Остапенко Михаил Дмитриевич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Специальность: 38.02.04 Коммерция (по отраслям)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1] </w:t>
      </w:r>
      <w:r>
        <w:rPr>
          <w:rFonts w:ascii="Times New Roman" w:hAnsi="Times New Roman"/>
          <w:b/>
          <w:color w:val="1F498B"/>
          <w:sz w:val="28"/>
        </w:rPr>
        <w:t>— Титульный слайд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Уважаемый Председатель и уважаемые члены Государственной Аттестационной Комиссии!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Вашему вниманию представляется дипломная работа на тему: «Организация рекламно-информационной работы коммерческой организации и оценка её эффективности (на примере ООО "ФАСТ ИНЖИНИРИНГ")».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Научный руководитель — кандидат экономических наук, доцент Саенко Мария Юрьевна.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2] </w:t>
      </w:r>
      <w:r>
        <w:rPr>
          <w:rFonts w:ascii="Times New Roman" w:hAnsi="Times New Roman"/>
          <w:b/>
          <w:color w:val="1F498B"/>
          <w:sz w:val="28"/>
        </w:rPr>
        <w:t>— Актуальность, объект, предмет, цель и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Актуальность темы обусловлена тремя группами факторов. Во-первых, экономическим: государственный курс на технологический суверенитет повысил роль отечественных инжиниринговых компаний, однако технологическое превосходство не гарантирует коммерческого успеха без грамотно выстроенной рекламно-информационной работы. Во-вторых, регуляторным: поправки 2022–2023 годов к Федеральному закону №38-ФЗ «О рекламе» — обязательная маркировка и Единый реестр интернет-рекламы — сделали грамотную организацию рекламной деятельности самостоятельным фактором устойчивости бизнеса. В-третьих, методическим: инструментарий оценки эффективности рекламно-информационной работы микропредприятий B2B-сегмента с длительным циклом сделки остаётся недостаточно разработанным в научной литературе.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Объектом исследования является рекламно-информационная деятельность ООО «ФАСТ ИНЖИНИРИНГ», предметом — организационно-экономические отношения, возникающие в процессе её планирования, реализации и оценки эффективности.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Цель работы — разработка обоснованных предложений по совершенствованию рекламно-информационной работы предприятия и оценка их экономической и коммуникативной эффективности. Для достижения этой цели решены восемь задач, охватывающих теоретические основы, анализ текущей деятельности, разработку программы совершенствования и её экономическое обоснование.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3] </w:t>
      </w:r>
      <w:r>
        <w:rPr>
          <w:rFonts w:ascii="Times New Roman" w:hAnsi="Times New Roman"/>
          <w:b/>
          <w:color w:val="1F498B"/>
          <w:sz w:val="28"/>
        </w:rPr>
        <w:t>— Характеристика объекта исследования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ООО «ФАСТ ИНЖИНИРИНГ» — это московское микропредприятие (численность до 10 человек), основанное в 1991 году и юридически зарегистрированное в 2001 году. Предприятие специализируется на разработке, проектировании и поставке инновационной промышленной продукции: радиально-спиральных теплообменных и массообменных аппаратов, каталитических реакторов нового поколения, беспламенных горелок и водородных аккумуляторов.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Компания обладает значительным научным и производственным потенциалом: все разработки защищены патентами Российской Федерации. В январе 2026 года предприятие получило статус Малой технологической компании Министерства экономического развития, является лауреатом Премии Мэра Москвы «Новатор Москвы» и финалистом конкурса GREENTECH фонда «Сколково» в 2024–2025 годах. В числе ключевых заказчиков — ПАО «НОВАТЭК», ПАО «ЕВРОХИМ», АО «ТАНЕКО», ПАО «МОСЭНЕРГО», АО «Воркутауголь».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4] </w:t>
      </w:r>
      <w:r>
        <w:rPr>
          <w:rFonts w:ascii="Times New Roman" w:hAnsi="Times New Roman"/>
          <w:b/>
          <w:color w:val="1F498B"/>
          <w:sz w:val="28"/>
        </w:rPr>
        <w:t>— Проблема: выручка упала на 80,4% — причина сбытовая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Финансово-экономический анализ за 2023–2025 годы зафиксировал острый сбытовой кризис. Выручка компании снизилась с 5 605 тысяч рублей в 2023 году до 375 тысяч рублей в 2024 году — падение на 80,4%, и прибыль была обнулена. В 2025 году наблюдается частичное восстановление до уровня около 1 100 тысяч рублей, однако докризисные показатели ещё не достигнуты.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Принципиальный вывод анализа: причина кризиса носит не операционный, а сбытовой характер. Диагностика показала, что производственный и научный потенциал предприятия полностью сохранён — стабильный кадровый состав, действующие патенты, высокая техническая экспертиза. Однако маркетинговая функция отсутствует, стратегия продвижения не разработана, системный поток заказов не сформирован. Компания использует лишь 2 из 6 возможных маркетинговых инструментов, узнаваемость в отрасли составляет около 38%, а среднее число входящих обращений — порядка 3 в месяц.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5] </w:t>
      </w:r>
      <w:r>
        <w:rPr>
          <w:rFonts w:ascii="Times New Roman" w:hAnsi="Times New Roman"/>
          <w:b/>
          <w:color w:val="1F498B"/>
          <w:sz w:val="28"/>
        </w:rPr>
        <w:t>— SWOT-анализ рекламно-информационной работы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В рамках второй главы проведён детальный SWOT-анализ системы рекламно-информационной работы предприятия. К сильным сторонам относятся: уникальная патентованная продукция, высокий уровень технической экспертизы, статус резидента «Сколково» и лауреата «Новатор Москвы», наличие реальных крупных промышленных заказчиков. Слабые стороны — отсутствие выделенной маркетинговой функции, сайт устаревшей архитектуры без CRM, продвижение исключительно через личные контакты руководителя, отсутствие структурированного референс-листа проектов.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Среди возможностей — растущий спрос на импортозамещающие решения, доступность цифровых каналов (SEO, Яндекс.Директ), участие в отраслевых выставках и конференциях, развитие контент-маркетинга через Telegram. Угрозы: длительный B2B-цикл сделки, регуляторные требования к интернет-рекламе, высокая конкуренция в инжиниринге, критическая зависимость продаж от одного человека — первого лица компании.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6] </w:t>
      </w:r>
      <w:r>
        <w:rPr>
          <w:rFonts w:ascii="Times New Roman" w:hAnsi="Times New Roman"/>
          <w:b/>
          <w:color w:val="1F498B"/>
          <w:sz w:val="28"/>
        </w:rPr>
        <w:t>— 5 системных барьеров коммуникации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На основе анализа по модели AIDA и экспертного опроса выявлены пять системных барьеров, которые блокируют устойчивый поток заказов. Барьер видимости: только 38% целевой аудитории знают о компании, в поисковых системах сайт не отображается по профильным запросам. Барьер доказательной базы: на сайте отсутствуют структурированный референс-лист, кейсы внедрений и отзывы заказчиков — а B2B без proof points не продаёт. Барьер конвертации: на сайте нет формы заявки на ТКП, кнопки обратного звонка, CRM-системы — потенциальный клиент уходит без контакта. Барьер аналитики: без KPI-метрик невозможно диагностировать узкие места, управленческие решения принимаются на основе интуиции. Барьер масштабирования: вся воронка продаж замкнута на первом лице — при его отсутствии поток заказов обнуляется.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Эти пять барьеров образуют замкнутый контур, размыкание которого требует комплексного управленческого решения.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7] </w:t>
      </w:r>
      <w:r>
        <w:rPr>
          <w:rFonts w:ascii="Times New Roman" w:hAnsi="Times New Roman"/>
          <w:b/>
          <w:color w:val="1F498B"/>
          <w:sz w:val="28"/>
        </w:rPr>
        <w:t>— 7 направлений программы совершенствования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В третьей главе разработана комплексная программа совершенствования, включающая семь взаимосвязанных направлений, каждое из которых адресует один или несколько выявленных барьеров коммуникации. Первое — формализация маркетинговой стратегии и медиаплана с целями, KPI и бюджетом (I квартал). Второе — модернизация корпоративного сайта по принципам B2B-юзабилити: форма ТКП, мобильная версия, конверсионные элементы (I–II кварталы). Третье — SEO-оптимизация и запуск контекстной рекламы в Яндекс.Директе для привлечения органического и платного трафика (II квартал). Четвёртое — развитие контент-маркетинга через Telegram-канал с публикацией 1–2 экспертных материалов в неделю (II–IV кварталы). Пятое — участие в 1–2 ключевых отраслевых выставках и конференциях в год (III квартал). Шестое — внедрение CRM-системы «Битрикс24» для учёта, квалификации и аналитики лидов (II квартал). Седьмое — формирование структурированного референс-листа реализованных проектов с числовыми показателями эффекта для заказчиков (II–III кварталы).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8] </w:t>
      </w:r>
      <w:r>
        <w:rPr>
          <w:rFonts w:ascii="Times New Roman" w:hAnsi="Times New Roman"/>
          <w:b/>
          <w:color w:val="1F498B"/>
          <w:sz w:val="28"/>
        </w:rPr>
        <w:t>— Медиаплан: 12 мероприятий, суммарный бюджет — 2 000 тыс. руб.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На основе семи направлений сформирован медиаплан на 2026 год, включающий двенадцать конкретных мероприятий с распределением по кварталам, ответственным лицам и ожидаемым результатам. Суммарный бюджет составляет 2 000 тысяч рублей. Наиболее ресурсоёмкие позиции — контекстная реклама в Яндекс.Директе (500 тысяч рублей), SEO-оптимизация сайта (300 тысяч рублей), внедрение CRM «Битрикс24» (350 тысяч рублей) и участие в отраслевой выставке (200 тысяч рублей). Ряд мероприятий — маркетинговая стратегия, подключение Яндекс.Метрики, референс-лист — реализуются без прямых денежных затрат.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9] </w:t>
      </w:r>
      <w:r>
        <w:rPr>
          <w:rFonts w:ascii="Times New Roman" w:hAnsi="Times New Roman"/>
          <w:b/>
          <w:color w:val="1F498B"/>
          <w:sz w:val="28"/>
        </w:rPr>
        <w:t>— Экономическое обоснование: ROMI 78,8% — инвестиции окупаемы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Ожидаемая эффективность медиаплана рассчитана по трём сценариям. В реалистическом сценарии — который принят как базовый — прогнозируется: рост среднемесячного числа входящих обращений в 8 раз (с 3 до 25), заключение 6 договоров в год, выручка по итогам 2026 года — 4 500 тысяч рублей. Рентабельность рекламной деятельности составит 78,8%, накопленный ROMI за два года — порядка плюс 57,5%, срок окупаемости — от 18 до 24 месяцев, что соответствует приемлемому ориентиру для B2B-сегмента сложного инжинирингового оборудования. В оптимистическом сценарии выручка достигает 6 750 тысяч рублей с ROMI 145%. В пессимистическом — 2 250 тысяч рублей при ROMI 12,5%. Анализ чувствительности показал устойчивость медиаплана к умеренным отклонениям ключевых параметров.</w:t>
      </w:r>
    </w:p>
    <w:p/>
    <w:p>
      <w:pPr>
        <w:jc w:val="left"/>
      </w:pPr>
      <w:r>
        <w:rPr>
          <w:rFonts w:ascii="Times New Roman" w:hAnsi="Times New Roman"/>
          <w:b/>
          <w:color w:val="1F498B"/>
          <w:sz w:val="28"/>
        </w:rPr>
        <w:t xml:space="preserve">[Слайд 10–11] </w:t>
      </w:r>
      <w:r>
        <w:rPr>
          <w:rFonts w:ascii="Times New Roman" w:hAnsi="Times New Roman"/>
          <w:b/>
          <w:color w:val="1F498B"/>
          <w:sz w:val="28"/>
        </w:rPr>
        <w:t>— Выводы и научная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В заключение хотел бы подвести ключевые итоги исследования. В работе доказано, что ограниченная рекламно-информационная работа является главной причиной сбытового кризиса предприятия. Разработана комплексная программа совершенствования из 7 направлений и 12 мероприятий с бюджетом 2 000 тысяч рублей и расчётом ROI по трём сценариям. Предложена и апробирована авторская методика СИЭР — Сводный Индекс Эффективности Рекламно-информационной работы, которая применима не только для ООО «ФАСТ ИНЖИНИРИНГ», но и для других инжиниринговых микропредприятий B2B-сегмента.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Практическая значимость работы состоит в том, что разработанные медиаплан, алгоритм аудита сайта и чек-лист барьеров коммуникации полностью готовы к применению в 2026 году. Результаты исследования наглядно показывают: внедрение комплексной рекламной программы обеспечит ООО «ФАСТ ИНЖИНИРИНГ» стабильный поток заявок и рост выручки даже в рамках ограниченного бюджета.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Доклад завершён. Готов ответить на вопросы членов комиссии.</w:t>
      </w:r>
    </w:p>
    <w:p>
      <w:pPr>
        <w:jc w:val="center"/>
      </w:pPr>
      <w:r>
        <w:rPr>
          <w:rFonts w:ascii="Times New Roman" w:hAnsi="Times New Roman"/>
          <w:i/>
          <w:sz w:val="24"/>
        </w:rPr>
        <w:t>Время доклада: ~7 минут (≈ 3 страницы)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