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ind w:firstLine="0"/>
        <w:jc w:val="center"/>
      </w:pPr>
      <w:r>
        <w:rPr>
          <w:b/>
          <w:sz w:val="24"/>
        </w:rPr>
        <w:t>Доклад к защите выпускной квалификационной работы</w:t>
      </w:r>
    </w:p>
    <w:p>
      <w:pPr>
        <w:spacing w:before="120" w:after="120"/>
        <w:ind w:firstLine="0"/>
        <w:jc w:val="center"/>
      </w:pPr>
      <w:r>
        <w:rPr>
          <w:b/>
          <w:sz w:val="24"/>
        </w:rPr>
        <w:t>на тему «Разработка бизнес-плана по производству товара (на материалах ООО «КУПИШУЗ»)»</w:t>
      </w:r>
    </w:p>
    <w:p>
      <w:pPr>
        <w:jc w:val="both"/>
      </w:pPr>
      <w:r>
        <w:rPr>
          <w:sz w:val="24"/>
        </w:rPr>
        <w:t>Уважаемый председатель и уважаемые члены Государственной аттестационной комиссии!</w:t>
      </w:r>
    </w:p>
    <w:p>
      <w:pPr>
        <w:jc w:val="both"/>
      </w:pPr>
      <w:r>
        <w:rPr>
          <w:sz w:val="24"/>
        </w:rPr>
        <w:t>Вашему вниманию представляется выпускная квалификационная работа на тему «Разработка бизнес-плана по производству товара» на материалах ООО «КУПИШУЗ» — одного из крупнейших операторов торговой интернет-площадки сегмента модной одежды и обуви в Российской Федерации.</w:t>
      </w:r>
    </w:p>
    <w:p>
      <w:pPr>
        <w:jc w:val="both"/>
      </w:pPr>
      <w:r>
        <w:rPr>
          <w:sz w:val="24"/>
        </w:rPr>
        <w:t>Выбранная тема является особо актуальной, так как уход с российского рынка ряда иностранных торговых марок в 2022–2024 годах, повышенная ключевая ставка Банка России и колебания валютного курса обострили проблему долгосрочной устойчивости бизнес-моделей, основанных на ввозе готовой продукции из-за рубежа. В этих условиях разработка бизнес-плана запуска собственного производства становится действенным инструментом снижения зависимости от внешних поставщиков, повышения маржинальности и формирования дополнительной потребительской ценности.</w:t>
      </w:r>
    </w:p>
    <w:p>
      <w:pPr>
        <w:jc w:val="both"/>
      </w:pPr>
      <w:r>
        <w:rPr>
          <w:sz w:val="24"/>
        </w:rPr>
        <w:t>Объектом исследования выступает финансово-хозяйственная деятельность ООО «КУПИШУЗ» (ИНН 7705935687, г. Москва). Предметом исследования — совокупность теоретических, методических и практических положений разработки бизнес-плана производства товара в условиях действующего торгового предприятия.</w:t>
      </w:r>
    </w:p>
    <w:p>
      <w:pPr>
        <w:jc w:val="both"/>
      </w:pPr>
      <w:r>
        <w:rPr>
          <w:sz w:val="24"/>
        </w:rPr>
        <w:t>Цель работы — разработать экономически обоснованный бизнес-план по производству собственной торговой марки обуви для ООО «КУПИШУЗ» и оценить целесообразность его реализации на основе общепринятых показателей эффективности инвестиционных проектов.</w:t>
      </w:r>
    </w:p>
    <w:p>
      <w:pPr>
        <w:jc w:val="both"/>
      </w:pPr>
      <w:r>
        <w:rPr>
          <w:sz w:val="24"/>
        </w:rPr>
        <w:t>Для достижения цели решены задачи: раскрыты теоретические основы бизнес-планирования и проведён сравнительный анализ ведущих методических стандартов — методики Организации Объединённых Наций по промышленному развитию, методики Европейского банка реконструкции и развития и Методических рекомендаций Министерства экономики Российской Федерации; дана организационно-экономическая характеристика ООО «КУПИШУЗ» и проведён стратегический анализ его внешней и внутренней среды; разработан бизнес-план запуска собственной торговой марки обуви и оценены показатели её коммерческой эффективности.</w:t>
      </w:r>
    </w:p>
    <w:p>
      <w:pPr>
        <w:jc w:val="both"/>
      </w:pPr>
      <w:r>
        <w:rPr>
          <w:sz w:val="24"/>
        </w:rPr>
        <w:t>Практическая значимость работы состоит в том, что разработанный бизнес-план может быть использован руководством ООО «КУПИШУЗ» в качестве рабочего документа для принятия инвестиционного решения и адаптирован для применения в иных розничных компаниях со сходной бизнес-моделью.</w:t>
      </w:r>
    </w:p>
    <w:p>
      <w:pPr>
        <w:jc w:val="both"/>
      </w:pPr>
      <w:r>
        <w:rPr>
          <w:sz w:val="24"/>
        </w:rPr>
        <w:t>Исследования проводились на материалах ООО «КУПИШУЗ» по данным ЕГРЮЛ, Государственного информационного ресурса бухгалтерской (финансовой) отчётности ФНС России и публичной отчётности предприятия за 2023–2025 годы.</w:t>
      </w:r>
    </w:p>
    <w:p>
      <w:pPr>
        <w:jc w:val="both"/>
      </w:pPr>
      <w:r>
        <w:rPr>
          <w:sz w:val="24"/>
        </w:rPr>
        <w:t>Как показано на третьем и четвёртом слайдах, ООО «КУПИШУЗ» — общество с ограниченной ответственностью, дата регистрации 9 декабря 2010 года; единственным участником с долей 100 процентов выступает АО «ЛМ Холдинг». Основной ОКВЭД 46.16 — оптовая торговля одеждой, обувью и изделиями из кожи; зарегистрировано более 70 дополнительных видов деятельности. Бизнес-модель — объединённая торговая интернет-площадка с полным циклом дистанционных продаж и собственной службой доставки. По объёму годовой выручки предприятие занимает третье место в подотрасли среди крупнейших операторов сегмента. Выручка 2025 года составила 117 миллиардов 622 миллиона рублей со среднегодовым темпом прироста 18,9 процента — существенно выше темпа инфляции. Чистая прибыль выросла за два года в два раза — с 1 165 до 2 304 миллионов рублей.</w:t>
      </w:r>
    </w:p>
    <w:p>
      <w:pPr>
        <w:jc w:val="both"/>
      </w:pPr>
      <w:r>
        <w:rPr>
          <w:sz w:val="24"/>
        </w:rPr>
        <w:t>Анализ финансовых показателей за 2023–2025 годы, представленный на пятом слайде, демонстрирует устойчивый рост в реальном выражении. Валовая маржа выросла с 15,4 до 17,0 процента за счёт роста доли собственных торговых марок. Рентабельность собственного капитала достигла 83,2 процента — это эффект финансового рычага. Коэффициенты ликвидности ниже нормативов, что типично для розничной модели; по всем коэффициентам положительная динамика. Финансовое состояние позволяет рассматривать инвестиционные проекты средней размерности из собственных средств без увеличения долговой нагрузки.</w:t>
      </w:r>
    </w:p>
    <w:p>
      <w:pPr>
        <w:jc w:val="both"/>
      </w:pPr>
      <w:r>
        <w:rPr>
          <w:sz w:val="24"/>
        </w:rPr>
        <w:t>На шестом слайде представлены структура баланса и характеристика рынка обуви. В активах преобладают оборотные средства — 79,5 процента, что типично для розничной модели с высокой оборачиваемостью. Целевой сегмент проекта «средний» (3–6 тысяч рублей за пару) занимает 38,4 процента ёмкости рынка и растёт темпами 9,5 процента в год. Уход иностранных брендов в 2022–2024 годах освободил 18–22 процента ёмкости сегмента, доля цифровых каналов продаж выросла с 18 до 41 процента — благоприятная среда для запуска собственной торговой марки.</w:t>
      </w:r>
    </w:p>
    <w:p>
      <w:pPr>
        <w:jc w:val="both"/>
      </w:pPr>
      <w:r>
        <w:rPr>
          <w:sz w:val="24"/>
        </w:rPr>
        <w:t>Седьмой слайд содержит SWOT-анализ. К сильным сторонам отнесены сформированная клиентская база, развитая цифровая инфраструктура и собственная служба доставки. Слабые стороны — низкий коэффициент автономии (0,32) и отсутствие производственной экспертизы. Возможности — импортозамещение, господдержка через Фонд развития промышленности и освобождение ассортиментных ниш. Угрозы — высокая ключевая ставка, волатильность валютного курса и усиление конкуренции СТМ других интернет-площадок. По итогам сделан вывод о целесообразности комбинированной модели: дизайн, маркетинг и сбыт остаются за предприятием, основные производственные операции передаются на договорной основе.</w:t>
      </w:r>
    </w:p>
    <w:p>
      <w:pPr>
        <w:jc w:val="both"/>
      </w:pPr>
      <w:r>
        <w:rPr>
          <w:sz w:val="24"/>
        </w:rPr>
        <w:t>В третьей главе работы, представленной на восьмом слайде, разработан бизнес-план запуска торговой марки обуви «Тропа». Целевая аудитория — молодые жители крупных городов в возрасте 22–40 лет. Ассортимент первого сезона — 90 позиций, к третьему году — 240; обновление коллекций дважды в год. Производственная программа: рост с 70 до 300 тысяч пар в год. Базовая площадка — Ростовская область, резервный подрядчик с распределением 70 на 30. Каналы сбыта: 78 процентов — собственная интернет-площадка, 15 процентов — партнёрские маркетплейсы, 7 процентов — опт. Проектная команда — 19 человек с фондом оплаты труда около 50 миллионов рублей в год.</w:t>
      </w:r>
    </w:p>
    <w:p>
      <w:pPr>
        <w:jc w:val="both"/>
      </w:pPr>
      <w:r>
        <w:rPr>
          <w:sz w:val="24"/>
        </w:rPr>
        <w:t>Экономическое обоснование, показанное на девятом слайде, выполнено на пятилетнем горизонте. Общая сумма инвестиций — 420 миллионов рублей: 70 процентов — собственные средства, 30 процентов — льготный кредит Фонда развития промышленности. Прогноз выручки — рост с 329 миллионов до 1 миллиарда 530 миллионов рублей; чистая прибыль — с 21 до 436 миллионов рублей. Средневзвешенная стоимость капитала — 17 процентов, ставка дисконтирования — 18 процентов годовых. Ключевые показатели эффективности: чистый дисконтированный доход — 318,4 миллиона рублей, внутренняя норма доходности — 31,7 процента, индекс рентабельности — 1,76, дисконтированный срок окупаемости — 3,4 года. Все четыре критерия коммерческой эффективности выполнены. Ожидаемое значение чистого дисконтированного дохода по итогам сценарного анализа — 285,1 миллиона рублей; в стресс-сценарии проект сохраняет положительный результат.</w:t>
      </w:r>
    </w:p>
    <w:p>
      <w:pPr>
        <w:jc w:val="both"/>
      </w:pPr>
      <w:r>
        <w:rPr>
          <w:sz w:val="24"/>
        </w:rPr>
        <w:t>Таким образом, цель выпускной квалификационной работы достигнута, гипотеза подтверждена. Проект запуска торговой марки «Тропа» обеспечивает прирост маржинальной прибыли по выделяемому ассортименту на 12 процентных пунктов относительно базового уровня закупочной маржи. Разработанный бизнес-план готов к применению руководством ООО «КУПИШУЗ» в качестве рабочего документа для принятия инвестиционного решения.</w:t>
      </w:r>
    </w:p>
    <w:p>
      <w:pPr>
        <w:jc w:val="both"/>
      </w:pPr>
      <w:r>
        <w:rPr>
          <w:sz w:val="24"/>
        </w:rPr>
        <w:t>Доклад окончен. Спасибо за внимание!</w:t>
      </w:r>
    </w:p>
    <w:sectPr w:rsidR="00FC693F" w:rsidRPr="0006063C" w:rsidSect="00034616">
      <w:pgSz w:w="12240" w:h="15840"/>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