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ВОЗМОЖНЫЕ ВОПРОСЫ ГОСУДАРСТВЕННОЙ АТТЕСТАЦИОННОЙ КОМИССИИ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И ПРИМЕРНЫЕ ОТВЕТЫ НА НИХ</w:t>
      </w:r>
    </w:p>
    <w:p>
      <w:pPr>
        <w:jc w:val="center"/>
      </w:pPr>
      <w:r>
        <w:rPr>
          <w:rFonts w:ascii="Times New Roman" w:hAnsi="Times New Roman"/>
          <w:b/>
          <w:sz w:val="28"/>
        </w:rPr>
      </w:r>
    </w:p>
    <w:p>
      <w:pPr>
        <w:jc w:val="center"/>
      </w:pPr>
      <w:r>
        <w:rPr>
          <w:rFonts w:ascii="Times New Roman" w:hAnsi="Times New Roman"/>
          <w:b/>
          <w:sz w:val="28"/>
        </w:rPr>
        <w:t>Дипломная работа: «Организация рекламно-информационной работы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коммерческой организации и оценка её эффективности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(на примере ООО "ФАСТ ИНЖИНИРИНГ")»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Студент: Остапенко М.Д.  |  Специальность: 38.02.04</w:t>
      </w:r>
    </w:p>
    <w:p/>
    <w:p>
      <w:pPr>
        <w:spacing w:before="200" w:after="80"/>
      </w:pPr>
      <w:r>
        <w:rPr>
          <w:rFonts w:ascii="Times New Roman" w:hAnsi="Times New Roman"/>
          <w:b/>
          <w:color w:val="1F498B"/>
          <w:sz w:val="28"/>
        </w:rPr>
        <w:t>── ВОПРОСЫ ПРЕДСЕДАТЕЛЯ ГАК 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1. </w:t>
      </w:r>
      <w:r>
        <w:rPr>
          <w:rFonts w:ascii="Times New Roman" w:hAnsi="Times New Roman"/>
          <w:b/>
          <w:color w:val="000000"/>
          <w:sz w:val="28"/>
        </w:rPr>
        <w:t>Почему вы выбрали именно ООО «ФАСТ ИНЖИНИРИНГ» объектом исследования?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Я проходил производственную практику в этой компании, что дало мне доступ к реальной финансовой отчётности и внутренним данным. Кроме того, ситуация в компании — технологически сильное предприятие с резким падением выручки — оказалась очень показательным примером именно сбытовой проблемы, а не производственной. Это сделало исследование практически значимым, а не только теоретическим.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2. </w:t>
      </w:r>
      <w:r>
        <w:rPr>
          <w:rFonts w:ascii="Times New Roman" w:hAnsi="Times New Roman"/>
          <w:b/>
          <w:color w:val="000000"/>
          <w:sz w:val="28"/>
        </w:rPr>
        <w:t>Какой личный вклад вы внесли в работу? Что именно авторское?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Лично мной выполнены: диагностика барьеров коммуникации по модели AIDA на основе реальных данных компании, SWOT-анализ системы рекламно-информационной работы, разработка медиаплана из 12 мероприятий с распределением бюджета 2 000 тыс. рублей, расчёт эффективности по трём сценариям с анализом чувствительности. Всё это — авторские разработки, а не заимствование из готовых источников.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3. </w:t>
      </w:r>
      <w:r>
        <w:rPr>
          <w:rFonts w:ascii="Times New Roman" w:hAnsi="Times New Roman"/>
          <w:b/>
          <w:color w:val="000000"/>
          <w:sz w:val="28"/>
        </w:rPr>
        <w:t>Работа внедрена или только предложена?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На момент защиты — предложена. Разработанный медиаплан, алгоритм аудита сайта и чек-лист барьеров переданы руководству ООО «ФАСТ ИНЖИНИРИНГ» и полностью готовы к применению в 2026 году. Фактическая реализация — за руководством компании.</w:t>
      </w:r>
    </w:p>
    <w:p>
      <w:pPr>
        <w:spacing w:before="200" w:after="80"/>
      </w:pPr>
      <w:r>
        <w:rPr>
          <w:rFonts w:ascii="Times New Roman" w:hAnsi="Times New Roman"/>
          <w:b/>
          <w:color w:val="1F498B"/>
          <w:sz w:val="28"/>
        </w:rPr>
        <w:t>── ВОПРОСЫ ЧЛЕНОВ КОМИССИИ 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4. </w:t>
      </w:r>
      <w:r>
        <w:rPr>
          <w:rFonts w:ascii="Times New Roman" w:hAnsi="Times New Roman"/>
          <w:b/>
          <w:color w:val="000000"/>
          <w:sz w:val="28"/>
        </w:rPr>
        <w:t>Вы говорите, что выручка упала на 80,4%. Откуда такие данные? Они достоверны?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Данные взяты из открытых источников — Государственного информационного ресурса бухгалтерской отчётности ФНС России, а также верифицированы через сервисы «Точка Банк», СПАРК-Интерфакс и cio-navigator.ru. Это публичная бухгалтерская отчётность, которую обязано сдавать любое юридическое лицо. Все три источника показали одни и те же цифры: 5 605 тыс. рублей в 2023 году и 375 тыс. рублей в 2024-м.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5. </w:t>
      </w:r>
      <w:r>
        <w:rPr>
          <w:rFonts w:ascii="Times New Roman" w:hAnsi="Times New Roman"/>
          <w:b/>
          <w:color w:val="000000"/>
          <w:sz w:val="28"/>
        </w:rPr>
        <w:t>Почему именно бюджет 2 000 тысяч рублей? Как он обоснован?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Бюджет рассчитан снизу вверх — от стоимости каждого конкретного мероприятия. Самые крупные статьи: Яндекс.Директ — 500 тыс., CRM — 350 тыс., SEO — 300 тыс., выставка — 200 тыс., сайт — 250 тыс. Кроме того, для предприятия с одним контрактом стоимостью от 1,5 млн рублей этот бюджет покрывается уже двумя успешными сделками в год. В реалистичном сценарии таких сделок прогнозируется шесть — то есть бюджет окупается трёхкратно.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6. </w:t>
      </w:r>
      <w:r>
        <w:rPr>
          <w:rFonts w:ascii="Times New Roman" w:hAnsi="Times New Roman"/>
          <w:b/>
          <w:color w:val="000000"/>
          <w:sz w:val="28"/>
        </w:rPr>
        <w:t>ROMI 78,8% — это хороший или плохой показатель?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Для первого года реализации программы в B2B-сегменте промышленного оборудования это приемлемый результат. В B2C быстрые потребительские товары могут показывать ROMI 200–300% уже за месяц, но там цикл сделки — секунды. В промышленном B2B с циклом 6–18 месяцев отраслевой ориентир по данным Российской ассоциации маркетинга — окупаемость за 18–36 месяцев. Наш реалистичный сценарий даёт 18–24 месяца — это в рамках нормы.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7. </w:t>
      </w:r>
      <w:r>
        <w:rPr>
          <w:rFonts w:ascii="Times New Roman" w:hAnsi="Times New Roman"/>
          <w:b/>
          <w:color w:val="000000"/>
          <w:sz w:val="28"/>
        </w:rPr>
        <w:t>Вы выявили пять барьеров. Почему именно пять? Их не может быть больше?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Барьеры выявлялись не произвольно, а через системный анализ коммуникативной воронки по модели AIDA на каждом её этапе. Пятый барьер — масштабирования — добавлен отдельно, так как носит структурный характер и не привязан к одному этапу воронки. Теоретически барьеров может быть больше — например, ценовой или логистический, — но применительно к данной компании они не являются определяющими.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8. </w:t>
      </w:r>
      <w:r>
        <w:rPr>
          <w:rFonts w:ascii="Times New Roman" w:hAnsi="Times New Roman"/>
          <w:b/>
          <w:color w:val="000000"/>
          <w:sz w:val="28"/>
        </w:rPr>
        <w:t>Почему вы не предложили рекламу в Яндекс.Картах или на отраслевых маркетплейсах?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Яндекс.Карты — инструмент для локального B2C-бизнеса: кафе, автосервисы, магазины. Для промышленного B2B, чьи клиенты — главные инженеры крупных заводов по всей России, — этот канал не релевантен. Отраслевые маркетплейсы (Tiu.ru, Pulscen) рассматривались, однако для сложного инжинирингового оборудования с индивидуальным проектированием под каждого заказчика они малоэффективны: там хорошо продаётся стандартизированное оборудование с фиксированной ценой.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9. </w:t>
      </w:r>
      <w:r>
        <w:rPr>
          <w:rFonts w:ascii="Times New Roman" w:hAnsi="Times New Roman"/>
          <w:b/>
          <w:color w:val="000000"/>
          <w:sz w:val="28"/>
        </w:rPr>
        <w:t>Как вы оценивали восприятие рекламы аудиторией, если обращений всего ~3 в месяц?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Оценка проводилась не только через входящие обращения. Использовались: контент-анализ корпоративного сайта, анализ видимости в поисковых системах через сервисы Be1 и PR-CY, экспертный опрос, а также косвенные данные — отсутствие страниц в социальных сетях, число публикаций в отраслевой прессе за 2022–2025 годы. Совокупность этих данных позволила дать обоснованную оценку без необходимости опрашивать большую выборку клиентов.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10. </w:t>
      </w:r>
      <w:r>
        <w:rPr>
          <w:rFonts w:ascii="Times New Roman" w:hAnsi="Times New Roman"/>
          <w:b/>
          <w:color w:val="000000"/>
          <w:sz w:val="28"/>
        </w:rPr>
        <w:t>Почему в работе нет конкурентного анализа — сравнения с другими производителями?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Конкурентная среда рассмотрена в рамках PEST- и SWOT-анализа в параграфе 2.2. Полноценный конкурентный анализ отдельным параграфом не выделен по двум причинам. Первая: продукция компании — радиально-спиральные теплообменники авторской конструкции — не имеет прямых аналогов на российском рынке. Вторая: предмет работы — рекламно-информационная деятельность, поэтому акцент сделан на коммуникационных разрывах самой компании, а не на конкурентной стратегии.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11. </w:t>
      </w:r>
      <w:r>
        <w:rPr>
          <w:rFonts w:ascii="Times New Roman" w:hAnsi="Times New Roman"/>
          <w:b/>
          <w:color w:val="000000"/>
          <w:sz w:val="28"/>
        </w:rPr>
        <w:t>Авторская методика СИЭР упомянута в презентации. Где она описана в тексте диплома?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В тексте работы методика изложена содержательно в главе 3.2 — как трёхуровневая система оценки: диагностика барьеров коммуникации, расчёт цифровых метрик воронки (CPL, CAC, ROMI) и сценарный анализ эффективности. Аббревиатура СИЭР введена в презентации как обобщающее название для этого подхода. Суть методики от этого не меняется: она описана и обоснована в тексте дипломной работы.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12. </w:t>
      </w:r>
      <w:r>
        <w:rPr>
          <w:rFonts w:ascii="Times New Roman" w:hAnsi="Times New Roman"/>
          <w:b/>
          <w:color w:val="000000"/>
          <w:sz w:val="28"/>
        </w:rPr>
        <w:t>Не боитесь, что через год ситуация изменится и рекомендации устареют?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Именно поэтому в медиаплане предусмотрен ежеквартальный анализ KPI и корректировка плана по итогам каждого квартала. Кроме того, анализ чувствительности показывает, что медиаплан устойчив к умеренным отклонениям ключевых параметров. Базовые направления — сайт, SEO, CRM, референс-лист — актуальны в любой рыночной ситуации, это фундамент, который не устареет.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 xml:space="preserve">Вопрос 13. </w:t>
      </w:r>
      <w:r>
        <w:rPr>
          <w:rFonts w:ascii="Times New Roman" w:hAnsi="Times New Roman"/>
          <w:b/>
          <w:color w:val="000000"/>
          <w:sz w:val="28"/>
        </w:rPr>
        <w:t>С чего лично вы рекомендуете начать руководству компании?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/>
          <w:color w:val="18723E"/>
          <w:sz w:val="28"/>
        </w:rPr>
        <w:t xml:space="preserve">Ответ: </w:t>
      </w:r>
      <w:r>
        <w:rPr>
          <w:rFonts w:ascii="Times New Roman" w:hAnsi="Times New Roman"/>
          <w:sz w:val="28"/>
        </w:rPr>
        <w:t>Первые два действия — бесплатные: написать маркетинговую стратегию и подключить Яндекс.Метрику на сайт. Они не стоят денег, но дают понимание: сколько людей приходит, откуда, что смотрят. Следующий приоритет — модернизация сайта с добавлением формы заявки на ТКП и раздела с кейсами. Именно это по анализу чувствительности сильнее всего влияет на конверсию и окупаемость всей программы.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