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ДОПОЛНИТЕЛЬНЫЕ ВОПРОСЫ ГАК И ОТВЕТЫ НА НИХ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«Организация рекламно-информационной работы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коммерческой организации и оценка её эффективности»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Остапенко М.Д.  |  38.02.04  |  ООО «ФАСТ ИНЖИНИРИНГ»</w:t>
      </w:r>
    </w:p>
    <w:p/>
    <w:p>
      <w:pPr>
        <w:spacing w:before="200" w:after="80"/>
      </w:pPr>
      <w:r>
        <w:rPr>
          <w:rFonts w:ascii="Times New Roman" w:hAnsi="Times New Roman"/>
          <w:b/>
          <w:color w:val="1F498B"/>
          <w:sz w:val="28"/>
        </w:rPr>
        <w:t>── ПО ТЕОРЕТИЧЕСКОЙ ЧАСТИ (Глава 1) 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14. </w:t>
      </w:r>
      <w:r>
        <w:rPr>
          <w:rFonts w:ascii="Times New Roman" w:hAnsi="Times New Roman"/>
          <w:b/>
          <w:sz w:val="28"/>
        </w:rPr>
        <w:t>Чем рекламно-информационная деятельность отличается от просто рекламы?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Реклама в юридическом смысле — это конкретный инструмент, регулируемый ФЗ №38-ФЗ. Рекламно-информационная деятельность — более широкое понятие: оно включает также PR, участие в выставках, контент-маркетинг, экспертные публикации, корпоративное информирование. Всё это воздействует на целевую аудиторию, но не всегда подпадает под юридическое определение рекламы. В дипломе используется расширительная трактовка, поскольку именно она отражает реальную практику продвижения в B2B-сегменте.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15. </w:t>
      </w:r>
      <w:r>
        <w:rPr>
          <w:rFonts w:ascii="Times New Roman" w:hAnsi="Times New Roman"/>
          <w:b/>
          <w:sz w:val="28"/>
        </w:rPr>
        <w:t>Назовите авторов, на которых вы опираетесь в теоретической части.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Теоретическую базу составляют труды Ф. Котлера и К. Л. Келлера, Дж. Бернета и С. Мориарти, Д. Аакера — зарубежная классика. Из отечественных авторов: Ф. И. Шарков, Е. В. Ромат, А. Н. Мудров, А. А. Романов, В. Л. Музыкант, А. Н. Назайкин, Е. П. Голубков. Цифровая трансформация рекламы освещена в работах Ф. Ю. Вирина и аналитических отчётах АКАР, Ruward, IAB Russia. Всего в списке использованных источников — 75 наименований.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16. </w:t>
      </w:r>
      <w:r>
        <w:rPr>
          <w:rFonts w:ascii="Times New Roman" w:hAnsi="Times New Roman"/>
          <w:b/>
          <w:sz w:val="28"/>
        </w:rPr>
        <w:t>В чём принципиальное отличие рекламы в B2B от рекламы в B2C?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В B2C доминируют массовые каналы, эмоциональные сообщения, короткий цикл принятия решения — один человек решает за секунды. В B2B решение принимает группа лиц: главный инженер, технический директор, финансовый директор, специалист по закупкам. Цикл сделки — от 6 до 18 месяцев, средний чек — десятки миллионов рублей. Главную роль играют рациональные аргументы: технические характеристики, патентная защищённость, референс-лист реализованных проектов. Именно поэтому стандартные B2C-инструменты — телевизионная реклама, наружная реклама — для ООО «ФАСТ ИНЖИНИРИНГ» нецелесообразны.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17. </w:t>
      </w:r>
      <w:r>
        <w:rPr>
          <w:rFonts w:ascii="Times New Roman" w:hAnsi="Times New Roman"/>
          <w:b/>
          <w:sz w:val="28"/>
        </w:rPr>
        <w:t>Что такое закупочный центр и почему это важно для данной работы?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Закупочный центр — группа лиц внутри компании-заказчика, совместно принимающих решение о закупке. Для промышленного оборудования это обычно 4–6 человек: технические специалисты, финансисты, закупщики. Это важно для рекламно-информационной работы, потому что рекламное сообщение должно работать на разную аудиторию одновременно: для инженера — технические преимущества, для финансового директора — расчёт экономического эффекта, для закупщика — надёжность поставщика и референс-лист.</w:t>
      </w:r>
    </w:p>
    <w:p>
      <w:pPr>
        <w:spacing w:before="200" w:after="80"/>
      </w:pPr>
      <w:r>
        <w:rPr>
          <w:rFonts w:ascii="Times New Roman" w:hAnsi="Times New Roman"/>
          <w:b/>
          <w:color w:val="1F498B"/>
          <w:sz w:val="28"/>
        </w:rPr>
        <w:t>── ПО АНАЛИТИЧЕСКОЙ ЧАСТИ (Глава 2) 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18. </w:t>
      </w:r>
      <w:r>
        <w:rPr>
          <w:rFonts w:ascii="Times New Roman" w:hAnsi="Times New Roman"/>
          <w:b/>
          <w:sz w:val="28"/>
        </w:rPr>
        <w:t>Вы говорите, что компания использует 2 из 6 маркетинговых инструментов. Какие именно шесть?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Шесть базовых компонентов комплекса продвижения по Котлеру и Бернету: реклама, стимулирование сбыта, прямой маркетинг, личные продажи, связи с общественностью и интерактивные коммуникации. ООО «ФАСТ ИНЖИНИРИНГ» систематически использует только два: личные продажи (прямые контакты руководителя) и связи с общественностью в пассивной форме — корпоративный сайт. Все остальные компоненты либо не задействованы вовсе, либо применяются несистемно.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19. </w:t>
      </w:r>
      <w:r>
        <w:rPr>
          <w:rFonts w:ascii="Times New Roman" w:hAnsi="Times New Roman"/>
          <w:b/>
          <w:sz w:val="28"/>
        </w:rPr>
        <w:t>Откуда взялась цифра «38% узнаваемость в отрасли»?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Показатель получен методом экспертной оценки: в ходе производственной практики был проведён опрос среди специалистов отрасли относительно осведомлённости об ООО «ФАСТ ИНЖИНИРИНГ». Кроме того, косвенно это подтверждается аналитикой видимости сайта: по данным сервисов Be1 и PR-CY, сайт компании не входит в первую двадцатку результатов поиска ни по одному из профильных коммерческих запросов.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20. </w:t>
      </w:r>
      <w:r>
        <w:rPr>
          <w:rFonts w:ascii="Times New Roman" w:hAnsi="Times New Roman"/>
          <w:b/>
          <w:sz w:val="28"/>
        </w:rPr>
        <w:t>Как вы проводили контент-анализ сайта? По каким критериям?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Контент-анализ проводился по методике оценки B2B-юзабилити. Критерии оценки: наличие отраслевых посадочных страниц, конверсионных элементов (форма заявки, кнопка обратного звонка), структурированного референс-листа с числовыми результатами, раздела экспертных публикаций, мобильной адаптации, подключённых систем веб-аналитики. По каждому критерию фиксировалось: есть / нет / частично. Результат — из семи ключевых критериев выполнен один: наличие технического описания продукции.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21. </w:t>
      </w:r>
      <w:r>
        <w:rPr>
          <w:rFonts w:ascii="Times New Roman" w:hAnsi="Times New Roman"/>
          <w:b/>
          <w:sz w:val="28"/>
        </w:rPr>
        <w:t>Вы анализировали только сайт. А что насчёт репутации компании в профессиональных кругах?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Репутация в узкой профессиональной среде у компании высокая — об этом свидетельствуют реальные крупные заказчики: НОВАТЭК, ЕВРОХИМ, ТАНЕКО. Компания участвовала в конференциях, публиковала научные статьи, получила премию «Новатор Москвы» и статус финалиста «Сколково». То есть репутация есть, но она существует в очень узком кругу — среди тех, кто уже знает о компании. Проблема в том, чтобы расширить этот круг — именно это адресует барьер видимости.</w:t>
      </w:r>
    </w:p>
    <w:p>
      <w:pPr>
        <w:spacing w:before="200" w:after="80"/>
      </w:pPr>
      <w:r>
        <w:rPr>
          <w:rFonts w:ascii="Times New Roman" w:hAnsi="Times New Roman"/>
          <w:b/>
          <w:color w:val="1F498B"/>
          <w:sz w:val="28"/>
        </w:rPr>
        <w:t>── ПО РЕКОМЕНДАЦИЯМ (Глава 3) 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22. </w:t>
      </w:r>
      <w:r>
        <w:rPr>
          <w:rFonts w:ascii="Times New Roman" w:hAnsi="Times New Roman"/>
          <w:b/>
          <w:sz w:val="28"/>
        </w:rPr>
        <w:t>Почему именно Telegram, а не ВКонтакте как основной канал контент-маркетинга?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Оба канала включены в медиаплан. Telegram выбран приоритетным по нескольким причинам: его аудитория в технических и инженерных профессиональных сообществах значительно активнее, чем во ВКонтакте; формат канала удобен для коротких экспертных заметок и новостей отрасли без сложного визуального оформления; порог входа ниже — нужен только текст и иллюстрация. ВКонтакте включён как дополнительный канал для более широкого охвата.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23. </w:t>
      </w:r>
      <w:r>
        <w:rPr>
          <w:rFonts w:ascii="Times New Roman" w:hAnsi="Times New Roman"/>
          <w:b/>
          <w:sz w:val="28"/>
        </w:rPr>
        <w:t>Почему не рассматривали Яндекс.Бизнес или размещение на отраслевых порталах типа Промышленный портал?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Яндекс.Бизнес — инструмент для локального бизнеса с физическим адресом посещения: магазины, кафе, сервисные центры. ООО «ФАСТ ИНЖИНИРИНГ» работает по всей России, клиент не приходит в офис — это нецелевой канал. Отраслевые порталы типа Промышленный портал или Metaprom были рассмотрены и включены в категорию «специализированные площадки», но не вынесены отдельной строкой медиаплана, поскольку их эффективность для нестандартного оборудования значительно ниже, чем у SEO и Яндекс.Директа.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24. </w:t>
      </w:r>
      <w:r>
        <w:rPr>
          <w:rFonts w:ascii="Times New Roman" w:hAnsi="Times New Roman"/>
          <w:b/>
          <w:sz w:val="28"/>
        </w:rPr>
        <w:t>Вы предлагаете участие в выставках. Какие конкретно выставки имеются в виду?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В медиаплане указаны три приоритетных мероприятия: выставка «Нефтегаз» — крупнейшая отраслевая выставка нефтегазового оборудования в России, ежегодно проходит в Москве; Heat &amp; Power — выставка энергетического оборудования; «Химия» — международная выставка химической промышленности. Именно там концентрируется целевая аудитория — главные инженеры, технологи и закупочные службы промышленных предприятий.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25. </w:t>
      </w:r>
      <w:r>
        <w:rPr>
          <w:rFonts w:ascii="Times New Roman" w:hAnsi="Times New Roman"/>
          <w:b/>
          <w:sz w:val="28"/>
        </w:rPr>
        <w:t>Как выбрали «Битрикс24» для CRM? Почему не AmoCRM или другое решение?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"Битрикс24" выбран как отечественное решение, что соответствует курсу на технологический суверенитет и снижает риски санкционного воздействия. Кроме того, он предоставляет бесплатный тариф для малых команд, имеет встроенную интеграцию с Яндекс.Метрикой, что важно для сквозной аналитики. AmoCRM также рассматривался — он удобнее для активных продаж, но дороже и не имеет бесплатного полнофункционального тарифа для микропредприятий.</w:t>
      </w:r>
    </w:p>
    <w:p>
      <w:pPr>
        <w:spacing w:before="200" w:after="80"/>
      </w:pPr>
      <w:r>
        <w:rPr>
          <w:rFonts w:ascii="Times New Roman" w:hAnsi="Times New Roman"/>
          <w:b/>
          <w:color w:val="1F498B"/>
          <w:sz w:val="28"/>
        </w:rPr>
        <w:t>── ПО ЭКОНОМИЧЕСКОМУ ОБОСНОВАНИЮ 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26. </w:t>
      </w:r>
      <w:r>
        <w:rPr>
          <w:rFonts w:ascii="Times New Roman" w:hAnsi="Times New Roman"/>
          <w:b/>
          <w:sz w:val="28"/>
        </w:rPr>
        <w:t>Откуда взялась средняя стоимость одного договора 1 500 тысяч рублей?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Значение определено на основе анализа открытых данных о закупках с участием ООО «ФАСТ ИНЖИНИРИНГ» и экспертной оценки, полученной в ходе производственной практики. Продукция компании — сложное промышленное оборудование с индивидуальным проектированием. Контракты на поставку теплообменников и реакторов для нефтегазовых и химических предприятий в типичном случае составляют от 500 тысяч до нескольких миллионов рублей. Значение 1 500 тысяч принято как консервативная оценка среднего чека.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27. </w:t>
      </w:r>
      <w:r>
        <w:rPr>
          <w:rFonts w:ascii="Times New Roman" w:hAnsi="Times New Roman"/>
          <w:b/>
          <w:sz w:val="28"/>
        </w:rPr>
        <w:t>Конверсия из лида в договор 5% — это реалистично для такого рынка?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Для промышленного B2B с длинным циклом сделки конверсия 5% из квалифицированного лида в подписанный договор является консервативной и обоснованной оценкой. По данным аналитического центра B2B Center, средняя конверсия в российском сегменте промышленного оборудования составляет 3–8%. Мы приняли 5% как серединное значение с учётом высокой технической экспертизы компании и патентной уникальности продукции, что снижает риск проигрыша в конкурентном сравнении.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28. </w:t>
      </w:r>
      <w:r>
        <w:rPr>
          <w:rFonts w:ascii="Times New Roman" w:hAnsi="Times New Roman"/>
          <w:b/>
          <w:sz w:val="28"/>
        </w:rPr>
        <w:t>Не завышен ли прогноз роста обращений в 8 раз — с 3 до 25 в месяц?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Прогноз строился на основе отраслевых бенчмарков. По данным Ruward за 2024 год, грамотно настроенная связка SEO + Яндекс.Директ в B2B промышленного сегмента обеспечивает 1 500–2 000 целевых переходов на сайт в месяц. При конверсии сайта в обращение 1,2% — это около 18–24 обращений в месяц только из цифровых каналов. С учётом офлайн-источников (выставки, публикации, личные контакты) цифра 25 обращений в месяц выглядит достижимой, хотя и амбициозной.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29. </w:t>
      </w:r>
      <w:r>
        <w:rPr>
          <w:rFonts w:ascii="Times New Roman" w:hAnsi="Times New Roman"/>
          <w:b/>
          <w:sz w:val="28"/>
        </w:rPr>
        <w:t>Что произойдёт с медиапланом, если бюджет придётся сократить вдвое?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Этот сценарий рассмотрен в анализе чувствительности. Сокращение бюджета на 20% при прочих равных повышает ROMI на 25 процентных пунктов в первый год — то есть при меньших затратах отдача в процентном выражении растёт. При сокращении вдвое рекомендуется сохранить приоритетные направления: модернизация сайта и формирование референс-листа — они дают наибольший эффект на конверсию. Сократить можно контекстную рекламу и выставку — как наиболее затратные статьи с отложенным эффектом.</w:t>
      </w:r>
    </w:p>
    <w:p>
      <w:pPr>
        <w:spacing w:before="200" w:after="80"/>
      </w:pPr>
      <w:r>
        <w:rPr>
          <w:rFonts w:ascii="Times New Roman" w:hAnsi="Times New Roman"/>
          <w:b/>
          <w:color w:val="1F498B"/>
          <w:sz w:val="28"/>
        </w:rPr>
        <w:t>── КАВЕРЗНЫЕ И ПРОВЕРОЧНЫЕ ВОПРОСЫ 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30. </w:t>
      </w:r>
      <w:r>
        <w:rPr>
          <w:rFonts w:ascii="Times New Roman" w:hAnsi="Times New Roman"/>
          <w:b/>
          <w:sz w:val="28"/>
        </w:rPr>
        <w:t>Компания получила выручку 375 тысяч рублей в 2024 году. Как она вообще существовала финансово?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Это справедливый вопрос. Компания является микропредприятием, что предполагает минимальные постоянные издержки. Вероятнее всего, в 2024 году существование обеспечивалось за счёт резервов, накопленных в более успешные периоды, а также отсутствием значительных постоянных затрат — аренды производственных площадей, большого штата сотрудников. В 2025 году началось восстановление до 1 100 тысяч рублей, что свидетельствует о сохранении операционной способности предприятия.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31. </w:t>
      </w:r>
      <w:r>
        <w:rPr>
          <w:rFonts w:ascii="Times New Roman" w:hAnsi="Times New Roman"/>
          <w:b/>
          <w:sz w:val="28"/>
        </w:rPr>
        <w:t>Если реклама — главная причина кризиса, почему в 2023 году выручка была высокой при таком же отсутствии рекламы?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Это наблюдение очень точное. Высокая выручка 2023 года, скорее всего, объясняется реализацией контрактов, заключённых ранее, в том числе на основе личных связей и репутации в узком профессиональном кругу. Сбытовая модель на личных контактах руководителя работает, пока эти контакты активны. Когда пул «тёплых» клиентов из личной сети исчерпан, поток заказов резко падает — именно это и произошло в 2024 году. Именно поэтому барьер масштабирования — зависимость от одного человека — определён как системный риск.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32. </w:t>
      </w:r>
      <w:r>
        <w:rPr>
          <w:rFonts w:ascii="Times New Roman" w:hAnsi="Times New Roman"/>
          <w:b/>
          <w:sz w:val="28"/>
        </w:rPr>
        <w:t>Не является ли вся дипломная работа просто описанием общеизвестных маркетинговых инструментов?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Действительно, отдельные инструменты — SEO, CRM, контент-маркетинг — общеизвестны. Научная новизна работы не в изобретении новых инструментов, а в трёх аспектах: во-первых, в применении системного подхода к конкретному предприятию с верифицированными финансовыми данными; во-вторых, в разработке матрицы соответствия выявленных барьеров и инструментов их устранения; в-третьих, в адаптации методики оценки эффективности к условиям микропредприятия B2B-сегмента с длительным циклом сделки — что в стандартных учебниках не описано.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33. </w:t>
      </w:r>
      <w:r>
        <w:rPr>
          <w:rFonts w:ascii="Times New Roman" w:hAnsi="Times New Roman"/>
          <w:b/>
          <w:sz w:val="28"/>
        </w:rPr>
        <w:t>Вы описываете барьеры. Но разве их устранение не требует денег, которых у компании нет?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Именно поэтому в медиаплане часть мероприятий реализуется без прямых затрат: маркетинговая стратегия, подключение Яндекс.Метрики, формирование референс-листа, запуск Telegram-канала в формате текстового контента. Первые шаги, устраняющие критические барьеры конвертации и аналитики, требуют не денег, а управленческого решения и времени. Бюджетные мероприятия — контекстная реклама, CRM, выставка — стартуют со второго квартала, к этому моменту компания уже должна начать получать первые результаты от бесплатных мер.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