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РЕЧЬ К ЗАЩИТЕ ДИПЛОМНОЙ РАБОТЫ</w:t>
      </w:r>
    </w:p>
    <w:p>
      <w:pPr>
        <w:jc w:val="center"/>
      </w:pPr>
      <w:r>
        <w:rPr>
          <w:rFonts w:ascii="Times New Roman" w:hAnsi="Times New Roman"/>
          <w:b/>
          <w:sz w:val="28"/>
        </w:rPr>
        <w:t>«Организация рекламно-информационной работы коммерческой организации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и оценка её эффективности (на примере ООО "ФАСТ ИНЖИНИРИНГ")»</w:t>
      </w:r>
    </w:p>
    <w:p>
      <w:pPr>
        <w:spacing w:after="0"/>
      </w:pPr>
    </w:p>
    <w:p>
      <w:r>
        <w:rPr>
          <w:rFonts w:ascii="Times New Roman" w:hAnsi="Times New Roman"/>
          <w:b/>
          <w:color w:val="1F498B"/>
          <w:sz w:val="28"/>
        </w:rPr>
        <w:t xml:space="preserve">[Слайд 1]  </w:t>
      </w:r>
      <w:r>
        <w:rPr>
          <w:rFonts w:ascii="Times New Roman" w:hAnsi="Times New Roman"/>
          <w:b/>
          <w:color w:val="1F498B"/>
          <w:sz w:val="28"/>
        </w:rPr>
        <w:t>Титульный слайд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sz w:val="28"/>
        </w:rPr>
        <w:t>Уважаемый Председатель, уважаемые члены Государственной Аттестационной Комиссии! Вашему вниманию представляется дипломная работа на тему «Организация рекламно-информационной работы коммерческой организации и оценка её эффективности» — на примере ООО «ФАСТ ИНЖИНИРИНГ». Научный руководитель — кандидат экономических наук, доцент Саенко Мария Юрьевна.</w:t>
      </w:r>
    </w:p>
    <w:p>
      <w:pPr>
        <w:spacing w:after="0"/>
      </w:pPr>
    </w:p>
    <w:p>
      <w:r>
        <w:rPr>
          <w:rFonts w:ascii="Times New Roman" w:hAnsi="Times New Roman"/>
          <w:b/>
          <w:color w:val="1F498B"/>
          <w:sz w:val="28"/>
        </w:rPr>
        <w:t xml:space="preserve">[Слайд 2]  </w:t>
      </w:r>
      <w:r>
        <w:rPr>
          <w:rFonts w:ascii="Times New Roman" w:hAnsi="Times New Roman"/>
          <w:b/>
          <w:color w:val="1F498B"/>
          <w:sz w:val="28"/>
        </w:rPr>
        <w:t>Актуальность, цель и задачи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sz w:val="28"/>
        </w:rPr>
        <w:t>Актуальность темы определяется тремя группами факторов. Первый — экономический: государственный курс на импортозамещение резко повысил роль отечественных инжиниринговых компаний, однако технологического превосходства недостаточно — без грамотной рекламно-информационной работы промышленный заказчик просто не узнает о продукте. Второй — регуляторный: поправки 2022–2023 годов к Федеральному закону №38-ФЗ «О рекламе» ввели обязательную маркировку интернет-рекламы и Единый реестр, что сделало правильную организацию рекламной деятельности требованием закона. Третий — методический: в научной литературе нет устоявшегося инструментария оценки эффективности рекламы для небольших B2B-компаний с длительным циклом сделки.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sz w:val="28"/>
        </w:rPr>
        <w:t>Объект исследования — рекламно-информационная деятельность ООО «ФАСТ ИНЖИНИРИНГ». Цель — разработать обоснованные предложения по её совершенствованию и оценить экономическую отдачу. Для достижения цели решены восемь задач, которые охватывают теоретическую базу, анализ текущей ситуации, разработку программы улучшений и её финансовое обоснование.</w:t>
      </w:r>
    </w:p>
    <w:p>
      <w:pPr>
        <w:spacing w:after="0"/>
      </w:pPr>
    </w:p>
    <w:p>
      <w:r>
        <w:rPr>
          <w:rFonts w:ascii="Times New Roman" w:hAnsi="Times New Roman"/>
          <w:b/>
          <w:color w:val="1F498B"/>
          <w:sz w:val="28"/>
        </w:rPr>
        <w:t xml:space="preserve">[Слайд 3]  </w:t>
      </w:r>
      <w:r>
        <w:rPr>
          <w:rFonts w:ascii="Times New Roman" w:hAnsi="Times New Roman"/>
          <w:b/>
          <w:color w:val="1F498B"/>
          <w:sz w:val="28"/>
        </w:rPr>
        <w:t>Характеристика объекта исследования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sz w:val="28"/>
        </w:rPr>
        <w:t>ООО «ФАСТ ИНЖИНИРИНГ» — московское микропредприятие численностью до десяти человек, основанное в 1991 году. Компания разрабатывает и поставляет инновационное промышленное оборудование: теплообменные и массообменные аппараты, каталитические реакторы, беспламенные горелки и водородные аккумуляторы. Все разработки защищены патентами Российской Федерации.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sz w:val="28"/>
        </w:rPr>
        <w:t>С точки зрения статусов и достижений: в январе 2026 года компания получила статус Малой технологической компании Министерства экономического развития, является лауреатом премии «Новатор Москвы» и финалистом конкурса GREENTECH фонда «Сколково». Среди реальных заказчиков — НОВАТЭК, ЕВРОХИМ, ТАНЕКО, МОСЭНЕРГО. То есть перед нами технологически сильная компания с подтверждёнными компетенциями. Тем более показательна проблема, которую зафиксировал анализ.</w:t>
      </w:r>
    </w:p>
    <w:p>
      <w:pPr>
        <w:spacing w:after="0"/>
      </w:pPr>
    </w:p>
    <w:p>
      <w:r>
        <w:rPr>
          <w:rFonts w:ascii="Times New Roman" w:hAnsi="Times New Roman"/>
          <w:b/>
          <w:color w:val="1F498B"/>
          <w:sz w:val="28"/>
        </w:rPr>
        <w:t xml:space="preserve">[Слайд 4]  </w:t>
      </w:r>
      <w:r>
        <w:rPr>
          <w:rFonts w:ascii="Times New Roman" w:hAnsi="Times New Roman"/>
          <w:b/>
          <w:color w:val="1F498B"/>
          <w:sz w:val="28"/>
        </w:rPr>
        <w:t>Ключевая проблема: выручка упала на 80,4%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sz w:val="28"/>
        </w:rPr>
        <w:t>Финансовый анализ за 2023–2025 годы выявил острый сбытовой кризис. Выручка компании сократилась с 5 605 тысяч рублей в 2023 году до 375 тысяч в 2024-м — это падение в пятнадцать раз. Прибыль обнулилась. В 2025 году наметилось восстановление до 1 100 тысяч рублей, однако до уровня 2023 года ещё далеко.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sz w:val="28"/>
        </w:rPr>
        <w:t>Принципиальный вывод: причина кризиса — не производственная, а сбытовая. Производство работает, кадры на месте, патенты действуют. Но маркетинговой функции в компании нет, стратегия продвижения не сформирована, поток входящих заказов не выстроен. Компания использует лишь два из шести возможных маркетинговых инструментов, узнаваемость в отрасли — около 38%, а среднее число входящих обращений — порядка трёх в месяц. Это и есть точка приложения усилий.</w:t>
      </w:r>
    </w:p>
    <w:p>
      <w:pPr>
        <w:spacing w:after="0"/>
      </w:pPr>
    </w:p>
    <w:p>
      <w:r>
        <w:rPr>
          <w:rFonts w:ascii="Times New Roman" w:hAnsi="Times New Roman"/>
          <w:b/>
          <w:color w:val="1F498B"/>
          <w:sz w:val="28"/>
        </w:rPr>
        <w:t xml:space="preserve">[Слайд 5]  </w:t>
      </w:r>
      <w:r>
        <w:rPr>
          <w:rFonts w:ascii="Times New Roman" w:hAnsi="Times New Roman"/>
          <w:b/>
          <w:color w:val="1F498B"/>
          <w:sz w:val="28"/>
        </w:rPr>
        <w:t>SWOT-анализ рекламно-информационной работы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sz w:val="28"/>
        </w:rPr>
        <w:t>По результатам второй главы был проведён SWOT-анализ системы рекламно-информационной работы предприятия. К сильным сторонам относятся: уникальная патентованная продукция, высокая техническая экспертиза, статусы «Сколково» и «Новатор Москвы», реальные крупные промышленные заказчики. Слабые стороны — отсутствие маркетолога в штате, сайт устаревшей архитектуры, продвижение строится исключительно на личных контактах руководителя, не сформирован референс-лист реализованных проектов.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sz w:val="28"/>
        </w:rPr>
        <w:t>Среди возможностей — рост спроса за счёт импортозамещения, доступность цифровых каналов: SEO, Яндекс.Директ, Telegram. Угрозы — длинный цикл B2B-сделки, регуляторные требования к рекламе, растущая конкуренция и критическая зависимость всего потока продаж от одного человека.</w:t>
      </w:r>
    </w:p>
    <w:p>
      <w:pPr>
        <w:spacing w:after="0"/>
      </w:pPr>
    </w:p>
    <w:p>
      <w:r>
        <w:rPr>
          <w:rFonts w:ascii="Times New Roman" w:hAnsi="Times New Roman"/>
          <w:b/>
          <w:color w:val="1F498B"/>
          <w:sz w:val="28"/>
        </w:rPr>
        <w:t xml:space="preserve">[Слайд 6]  </w:t>
      </w:r>
      <w:r>
        <w:rPr>
          <w:rFonts w:ascii="Times New Roman" w:hAnsi="Times New Roman"/>
          <w:b/>
          <w:color w:val="1F498B"/>
          <w:sz w:val="28"/>
        </w:rPr>
        <w:t>Пять системных барьеров коммуникации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sz w:val="28"/>
        </w:rPr>
        <w:t>На основе анализа по модели AIDA и экспертного опроса выявлены пять барьеров, которые блокируют устойчивый поток заказов. Барьер видимости: лишь 38% целевой аудитории знают о компании, в поисковых системах сайт по профильным запросам не отображается. Барьер доказательной базы: на сайте нет ни кейсов, ни отзывов клиентов — а в промышленном B2B без подтверждённого опыта покупку не совершают. Барьер конвертации: отсутствует форма заявки на технико-коммерческое предложение, нет кнопки обратного звонка, не внедрена CRM — потенциальный клиент уходит без контакта. Барьер аналитики: без метрик невозможно понять, что работает, управленческие решения принимаются на интуиции. Барьер масштабирования: вся воронка продаж замкнута на первом лице компании — это делает бизнес нестабильным.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sz w:val="28"/>
        </w:rPr>
        <w:t>Все пять барьеров взаимосвязаны и образуют замкнутый контур, для разрыва которого нужна комплексная программа.</w:t>
      </w:r>
    </w:p>
    <w:p>
      <w:pPr>
        <w:spacing w:after="0"/>
      </w:pPr>
    </w:p>
    <w:p>
      <w:r>
        <w:rPr>
          <w:rFonts w:ascii="Times New Roman" w:hAnsi="Times New Roman"/>
          <w:b/>
          <w:color w:val="1F498B"/>
          <w:sz w:val="28"/>
        </w:rPr>
        <w:t xml:space="preserve">[Слайд 7]  </w:t>
      </w:r>
      <w:r>
        <w:rPr>
          <w:rFonts w:ascii="Times New Roman" w:hAnsi="Times New Roman"/>
          <w:b/>
          <w:color w:val="1F498B"/>
          <w:sz w:val="28"/>
        </w:rPr>
        <w:t>Семь направлений программы совершенствования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sz w:val="28"/>
        </w:rPr>
        <w:t>В третьей главе разработана программа из семи взаимосвязанных направлений, каждое из которых закрывает один или несколько выявленных барьеров. Первое — формализация маркетинговой стратегии с целями, KPI и бюджетом. Второе — модернизация корпоративного сайта по принципам B2B-юзабилити: форма заявки на ТКП, мобильная версия, отраслевые посадочные страницы. Третье — запуск SEO-оптимизации и контекстной рекламы в Яндекс.Директе. Четвёртое — ведение Telegram-канала с публикацией 1–2 экспертных материалов в неделю. Пятое — участие в 1–2 ключевых отраслевых выставках в год. Шестое — внедрение CRM-системы «Битрикс24» для учёта и анализа лидов. Седьмое — формирование структурированного референс-листа с числовыми результатами для каждого реализованного проекта.</w:t>
      </w:r>
    </w:p>
    <w:p>
      <w:pPr>
        <w:spacing w:after="0"/>
      </w:pPr>
    </w:p>
    <w:p>
      <w:r>
        <w:rPr>
          <w:rFonts w:ascii="Times New Roman" w:hAnsi="Times New Roman"/>
          <w:b/>
          <w:color w:val="1F498B"/>
          <w:sz w:val="28"/>
        </w:rPr>
        <w:t xml:space="preserve">[Слайд 8]  </w:t>
      </w:r>
      <w:r>
        <w:rPr>
          <w:rFonts w:ascii="Times New Roman" w:hAnsi="Times New Roman"/>
          <w:b/>
          <w:color w:val="1F498B"/>
          <w:sz w:val="28"/>
        </w:rPr>
        <w:t>Медиаплан на 2026 год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sz w:val="28"/>
        </w:rPr>
        <w:t>На основе семи направлений составлен медиаплан на 2026 год: двенадцать конкретных мероприятий с распределением по кварталам, ответственными и ожидаемыми результатами. Суммарный бюджет — 2 000 тысяч рублей. Основные статьи затрат: Яндекс.Директ — 500 тысяч, CRM — 350 тысяч, SEO — 300 тысяч, выставка — 200 тысяч, модернизация сайта — 250 тысяч. Часть мероприятий — разработка стратегии, подключение веб-аналитики, создание референс-листа — реализуется без прямых расходов.</w:t>
      </w:r>
    </w:p>
    <w:p>
      <w:pPr>
        <w:spacing w:after="0"/>
      </w:pPr>
    </w:p>
    <w:p>
      <w:r>
        <w:rPr>
          <w:rFonts w:ascii="Times New Roman" w:hAnsi="Times New Roman"/>
          <w:b/>
          <w:color w:val="1F498B"/>
          <w:sz w:val="28"/>
        </w:rPr>
        <w:t xml:space="preserve">[Слайд 9]  </w:t>
      </w:r>
      <w:r>
        <w:rPr>
          <w:rFonts w:ascii="Times New Roman" w:hAnsi="Times New Roman"/>
          <w:b/>
          <w:color w:val="1F498B"/>
          <w:sz w:val="28"/>
        </w:rPr>
        <w:t>Экономическое обоснование: ROMI 78,8%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sz w:val="28"/>
        </w:rPr>
        <w:t>Эффективность медиаплана рассчитана по трём сценариям. В реалистичном — базовом — сценарии прогнозируется рост числа входящих обращений в восемь раз: с трёх до двадцати пяти в месяц, заключение шести договоров в год и выручка по итогам 2026 года — 4 500 тысяч рублей. Рентабельность рекламной деятельности составит 78,8%, накопленный ROMI за два года — около плюс 57,5%, срок окупаемости — от 18 до 24 месяцев. Для B2B-рынка промышленного оборудования это приемлемый результат.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sz w:val="28"/>
        </w:rPr>
        <w:t>В оптимистичном сценарии выручка достигает 6 750 тысяч рублей при ROMI 145%. В пессимистичном — 2 250 тысяч рублей при ROMI 12,5% и окупаемости свыше 30 месяцев. При этом анализ чувствительности показал: медиаплан устойчив к умеренным отклонениям ключевых параметров, а критически важными оказались модернизация сайта и формирование референс-листа.</w:t>
      </w:r>
    </w:p>
    <w:p>
      <w:pPr>
        <w:spacing w:after="0"/>
      </w:pPr>
    </w:p>
    <w:p>
      <w:r>
        <w:rPr>
          <w:rFonts w:ascii="Times New Roman" w:hAnsi="Times New Roman"/>
          <w:b/>
          <w:color w:val="1F498B"/>
          <w:sz w:val="28"/>
        </w:rPr>
        <w:t xml:space="preserve">[Слайд 10–11]  </w:t>
      </w:r>
      <w:r>
        <w:rPr>
          <w:rFonts w:ascii="Times New Roman" w:hAnsi="Times New Roman"/>
          <w:b/>
          <w:color w:val="1F498B"/>
          <w:sz w:val="28"/>
        </w:rPr>
        <w:t>Выводы и научная значимость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sz w:val="28"/>
        </w:rPr>
        <w:t>Позвольте подвести итоги. В ходе исследования доказано, что отсутствие системной рекламно-информационной работы является главной причиной сбытового кризиса ООО «ФАСТ ИНЖИНИРИНГ». Разработана комплексная программа из семи направлений и двенадцати мероприятий с бюджетом 2 миллиона рублей и расчётом отдачи по трём сценариям — всё это готово к внедрению в 2026 году.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sz w:val="28"/>
        </w:rPr>
        <w:t>Научная новизна работы состоит в авторской методике СИЭР — Сводного Индекса Эффективности Рекламно-информационной работы, которую можно применять не только в ООО «ФАСТ ИНЖИНИРИНГ», но и в других инжиниринговых микропредприятиях B2B-сегмента. Практическая ценность работы подтверждается готовностью всех разработанных инструментов — медиаплана, алгоритма аудита сайта и чек-листа барьеров — к немедленному применению.</w:t>
      </w: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sz w:val="28"/>
        </w:rPr>
        <w:t>Доклад завершён. Готов ответить на вопросы.</w:t>
      </w:r>
    </w:p>
    <w:p>
      <w:pPr>
        <w:jc w:val="center"/>
      </w:pPr>
      <w:r>
        <w:rPr>
          <w:rFonts w:ascii="Times New Roman" w:hAnsi="Times New Roman"/>
          <w:i/>
          <w:sz w:val="24"/>
        </w:rPr>
        <w:t>Расчётное время доклада: ~7 минут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