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/>
          <w:b/>
          <w:sz w:val="24"/>
        </w:rPr>
        <w:t>ФРАЗЫ-ОПОРЫ ДЛЯ ЗАЩИТЫ ДИПЛОМНОЙ РАБОТЫ</w:t>
      </w:r>
    </w:p>
    <w:p>
      <w:pPr>
        <w:spacing w:after="80"/>
        <w:jc w:val="center"/>
      </w:pPr>
      <w:r>
        <w:rPr>
          <w:rFonts w:ascii="Times New Roman" w:hAnsi="Times New Roman"/>
          <w:b/>
          <w:sz w:val="20"/>
        </w:rPr>
        <w:t>Профессиональные речевые клише для уверенного выступления</w:t>
      </w:r>
    </w:p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2551"/>
            <w:shd w:val="clear" w:color="auto" w:fill="1F498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Ситуация</w:t>
            </w:r>
          </w:p>
        </w:tc>
        <w:tc>
          <w:tcPr>
            <w:tcW w:type="dxa" w:w="7370"/>
            <w:shd w:val="clear" w:color="auto" w:fill="1F498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Фразы-опоры</w:t>
            </w:r>
          </w:p>
        </w:tc>
      </w:tr>
      <w:tr>
        <w:tc>
          <w:tcPr>
            <w:tcW w:type="dxa" w:w="9922"/>
            <w:gridSpan w:val="2"/>
            <w:shd w:val="clear" w:color="auto" w:fill="D6E0F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color w:val="1F498B"/>
                <w:sz w:val="18"/>
              </w:rPr>
              <w:t xml:space="preserve">  ▌ НАЧАЛО ВЫСТУПЛЕНИЯ</w:t>
            </w:r>
          </w:p>
        </w:tc>
      </w:tr>
      <w:tr>
        <w:tc>
          <w:tcPr>
            <w:tcW w:type="dxa" w:w="4961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1F498B"/>
                <w:sz w:val="18"/>
              </w:rPr>
              <w:t>Приветствие</w:t>
              <w:br/>
              <w:t>комиссии</w:t>
            </w:r>
          </w:p>
        </w:tc>
        <w:tc>
          <w:tcPr>
            <w:tcW w:type="dxa" w:w="4961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— Уважаемый Председатель, уважаемые члены Государственной Аттестационной Комиссии!</w:t>
            </w:r>
            <w:r>
              <w:br/>
            </w:r>
            <w:r>
              <w:rPr>
                <w:rFonts w:ascii="Times New Roman" w:hAnsi="Times New Roman"/>
                <w:sz w:val="18"/>
              </w:rPr>
              <w:t>— Разрешите представить вашему вниманию дипломную работу на тему…</w:t>
            </w:r>
            <w:r>
              <w:br/>
            </w:r>
            <w:r>
              <w:rPr>
                <w:rFonts w:ascii="Times New Roman" w:hAnsi="Times New Roman"/>
                <w:sz w:val="18"/>
              </w:rPr>
              <w:t>— Позвольте представить результаты выпускной квалификационной работы…</w:t>
            </w:r>
          </w:p>
        </w:tc>
      </w:tr>
      <w:tr>
        <w:tc>
          <w:tcPr>
            <w:tcW w:type="dxa" w:w="4961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1F498B"/>
                <w:sz w:val="18"/>
              </w:rPr>
              <w:t>Объявление</w:t>
              <w:br/>
              <w:t>структуры</w:t>
              <w:br/>
              <w:t>доклада</w:t>
            </w:r>
          </w:p>
        </w:tc>
        <w:tc>
          <w:tcPr>
            <w:tcW w:type="dxa" w:w="4961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— Доклад построен следующим образом: сначала я обозначу актуальность, затем перейду к анализу и завершу предложениями по совершенствованию.</w:t>
            </w:r>
            <w:r>
              <w:br/>
            </w:r>
            <w:r>
              <w:rPr>
                <w:rFonts w:ascii="Times New Roman" w:hAnsi="Times New Roman"/>
                <w:sz w:val="18"/>
              </w:rPr>
              <w:t>— В ходе доклада я последовательно остановлюсь на трёх ключевых блоках…</w:t>
            </w:r>
          </w:p>
        </w:tc>
      </w:tr>
      <w:tr>
        <w:tc>
          <w:tcPr>
            <w:tcW w:type="dxa" w:w="9922"/>
            <w:gridSpan w:val="2"/>
            <w:shd w:val="clear" w:color="auto" w:fill="D6E0F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color w:val="1F498B"/>
                <w:sz w:val="18"/>
              </w:rPr>
              <w:t xml:space="preserve">  ▌ ПЕРЕХОДЫ МЕЖДУ СЛАЙДАМИ</w:t>
            </w:r>
          </w:p>
        </w:tc>
      </w:tr>
      <w:tr>
        <w:tc>
          <w:tcPr>
            <w:tcW w:type="dxa" w:w="4961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1F498B"/>
                <w:sz w:val="18"/>
              </w:rPr>
              <w:t>Переход</w:t>
              <w:br/>
              <w:t>вперёд</w:t>
            </w:r>
          </w:p>
        </w:tc>
        <w:tc>
          <w:tcPr>
            <w:tcW w:type="dxa" w:w="4961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— Перейдём к следующему слайду…</w:t>
            </w:r>
            <w:r>
              <w:br/>
            </w:r>
            <w:r>
              <w:rPr>
                <w:rFonts w:ascii="Times New Roman" w:hAnsi="Times New Roman"/>
                <w:sz w:val="18"/>
              </w:rPr>
              <w:t>— Это подводит нас к…</w:t>
            </w:r>
            <w:r>
              <w:br/>
            </w:r>
            <w:r>
              <w:rPr>
                <w:rFonts w:ascii="Times New Roman" w:hAnsi="Times New Roman"/>
                <w:sz w:val="18"/>
              </w:rPr>
              <w:t>— Рассмотрев [тему], обратимся к…</w:t>
            </w:r>
            <w:r>
              <w:br/>
            </w:r>
            <w:r>
              <w:rPr>
                <w:rFonts w:ascii="Times New Roman" w:hAnsi="Times New Roman"/>
                <w:sz w:val="18"/>
              </w:rPr>
              <w:t>— Как видно из представленных данных, следующий шаг — …</w:t>
            </w:r>
          </w:p>
        </w:tc>
      </w:tr>
      <w:tr>
        <w:tc>
          <w:tcPr>
            <w:tcW w:type="dxa" w:w="4961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1F498B"/>
                <w:sz w:val="18"/>
              </w:rPr>
              <w:t>Ссылка на</w:t>
              <w:br/>
              <w:t>слайд</w:t>
            </w:r>
          </w:p>
        </w:tc>
        <w:tc>
          <w:tcPr>
            <w:tcW w:type="dxa" w:w="4961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— Обратите внимание на данные, представленные на слайде…</w:t>
            </w:r>
            <w:r>
              <w:br/>
            </w:r>
            <w:r>
              <w:rPr>
                <w:rFonts w:ascii="Times New Roman" w:hAnsi="Times New Roman"/>
                <w:sz w:val="18"/>
              </w:rPr>
              <w:t>— На слайде вы можете видеть…</w:t>
            </w:r>
            <w:r>
              <w:br/>
            </w:r>
            <w:r>
              <w:rPr>
                <w:rFonts w:ascii="Times New Roman" w:hAnsi="Times New Roman"/>
                <w:sz w:val="18"/>
              </w:rPr>
              <w:t>— Как отражено на диаграмме…</w:t>
            </w:r>
            <w:r>
              <w:br/>
            </w:r>
            <w:r>
              <w:rPr>
                <w:rFonts w:ascii="Times New Roman" w:hAnsi="Times New Roman"/>
                <w:sz w:val="18"/>
              </w:rPr>
              <w:t>— Цифры на слайде наглядно демонстрируют…</w:t>
            </w:r>
          </w:p>
        </w:tc>
      </w:tr>
      <w:tr>
        <w:tc>
          <w:tcPr>
            <w:tcW w:type="dxa" w:w="9922"/>
            <w:gridSpan w:val="2"/>
            <w:shd w:val="clear" w:color="auto" w:fill="D6E0F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color w:val="1F498B"/>
                <w:sz w:val="18"/>
              </w:rPr>
              <w:t xml:space="preserve">  ▌ ПРЕДСТАВЛЕНИЕ ДАННЫХ И РЕЗУЛЬТАТОВ</w:t>
            </w:r>
          </w:p>
        </w:tc>
      </w:tr>
      <w:tr>
        <w:tc>
          <w:tcPr>
            <w:tcW w:type="dxa" w:w="4961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1F498B"/>
                <w:sz w:val="18"/>
              </w:rPr>
              <w:t>Ввод цифр</w:t>
            </w:r>
          </w:p>
        </w:tc>
        <w:tc>
          <w:tcPr>
            <w:tcW w:type="dxa" w:w="4961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— По данным [источник], …</w:t>
            </w:r>
            <w:r>
              <w:br/>
            </w:r>
            <w:r>
              <w:rPr>
                <w:rFonts w:ascii="Times New Roman" w:hAnsi="Times New Roman"/>
                <w:sz w:val="18"/>
              </w:rPr>
              <w:t>— Анализ показал, что…</w:t>
            </w:r>
            <w:r>
              <w:br/>
            </w:r>
            <w:r>
              <w:rPr>
                <w:rFonts w:ascii="Times New Roman" w:hAnsi="Times New Roman"/>
                <w:sz w:val="18"/>
              </w:rPr>
              <w:t>— Полученные результаты свидетельствуют о том, что…</w:t>
            </w:r>
            <w:r>
              <w:br/>
            </w:r>
            <w:r>
              <w:rPr>
                <w:rFonts w:ascii="Times New Roman" w:hAnsi="Times New Roman"/>
                <w:sz w:val="18"/>
              </w:rPr>
              <w:t>— Расчёты подтверждают: …</w:t>
            </w:r>
          </w:p>
        </w:tc>
      </w:tr>
      <w:tr>
        <w:tc>
          <w:tcPr>
            <w:tcW w:type="dxa" w:w="4961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1F498B"/>
                <w:sz w:val="18"/>
              </w:rPr>
              <w:t>Акцент на</w:t>
              <w:br/>
              <w:t>ключевом</w:t>
            </w:r>
          </w:p>
        </w:tc>
        <w:tc>
          <w:tcPr>
            <w:tcW w:type="dxa" w:w="4961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— Принципиальный вывод состоит в следующем: …</w:t>
            </w:r>
            <w:r>
              <w:br/>
            </w:r>
            <w:r>
              <w:rPr>
                <w:rFonts w:ascii="Times New Roman" w:hAnsi="Times New Roman"/>
                <w:sz w:val="18"/>
              </w:rPr>
              <w:t>— Особо следует отметить, что…</w:t>
            </w:r>
            <w:r>
              <w:br/>
            </w:r>
            <w:r>
              <w:rPr>
                <w:rFonts w:ascii="Times New Roman" w:hAnsi="Times New Roman"/>
                <w:sz w:val="18"/>
              </w:rPr>
              <w:t>— Это принципиально важно, поскольку…</w:t>
            </w:r>
            <w:r>
              <w:br/>
            </w:r>
            <w:r>
              <w:rPr>
                <w:rFonts w:ascii="Times New Roman" w:hAnsi="Times New Roman"/>
                <w:sz w:val="18"/>
              </w:rPr>
              <w:t>— Ключевое наблюдение: причина носит не [А], а [Б] характер.</w:t>
            </w:r>
          </w:p>
        </w:tc>
      </w:tr>
      <w:tr>
        <w:tc>
          <w:tcPr>
            <w:tcW w:type="dxa" w:w="4961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1F498B"/>
                <w:sz w:val="18"/>
              </w:rPr>
              <w:t>Сравнение</w:t>
              <w:br/>
              <w:t>и динамика</w:t>
            </w:r>
          </w:p>
        </w:tc>
        <w:tc>
          <w:tcPr>
            <w:tcW w:type="dxa" w:w="4961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— В сравнении с предыдущим периодом…</w:t>
            </w:r>
            <w:r>
              <w:br/>
            </w:r>
            <w:r>
              <w:rPr>
                <w:rFonts w:ascii="Times New Roman" w:hAnsi="Times New Roman"/>
                <w:sz w:val="18"/>
              </w:rPr>
              <w:t>— Показатель вырос / снизился с … до …, то есть в … раз.</w:t>
            </w:r>
            <w:r>
              <w:br/>
            </w:r>
            <w:r>
              <w:rPr>
                <w:rFonts w:ascii="Times New Roman" w:hAnsi="Times New Roman"/>
                <w:sz w:val="18"/>
              </w:rPr>
              <w:t>— При реалистичном сценарии прогнозируется…</w:t>
            </w:r>
            <w:r>
              <w:br/>
            </w:r>
            <w:r>
              <w:rPr>
                <w:rFonts w:ascii="Times New Roman" w:hAnsi="Times New Roman"/>
                <w:sz w:val="18"/>
              </w:rPr>
              <w:t>— Даже в пессимистичном сценарии…</w:t>
            </w:r>
          </w:p>
        </w:tc>
      </w:tr>
      <w:tr>
        <w:tc>
          <w:tcPr>
            <w:tcW w:type="dxa" w:w="9922"/>
            <w:gridSpan w:val="2"/>
            <w:shd w:val="clear" w:color="auto" w:fill="D6E0F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color w:val="1F498B"/>
                <w:sz w:val="18"/>
              </w:rPr>
              <w:t xml:space="preserve">  ▌ ОБОСНОВАНИЕ ВЫВОДОВ</w:t>
            </w:r>
          </w:p>
        </w:tc>
      </w:tr>
      <w:tr>
        <w:tc>
          <w:tcPr>
            <w:tcW w:type="dxa" w:w="4961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1F498B"/>
                <w:sz w:val="18"/>
              </w:rPr>
              <w:t>Опора на</w:t>
              <w:br/>
              <w:t>источник</w:t>
            </w:r>
          </w:p>
        </w:tc>
        <w:tc>
          <w:tcPr>
            <w:tcW w:type="dxa" w:w="4961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— Согласно классификации [автор / закон / источник]…</w:t>
            </w:r>
            <w:r>
              <w:br/>
            </w:r>
            <w:r>
              <w:rPr>
                <w:rFonts w:ascii="Times New Roman" w:hAnsi="Times New Roman"/>
                <w:sz w:val="18"/>
              </w:rPr>
              <w:t>— В соответствии с методологией [название]…</w:t>
            </w:r>
            <w:r>
              <w:br/>
            </w:r>
            <w:r>
              <w:rPr>
                <w:rFonts w:ascii="Times New Roman" w:hAnsi="Times New Roman"/>
                <w:sz w:val="18"/>
              </w:rPr>
              <w:t>— Это подтверждается данными [АКАР / Ruward / ФНС]…</w:t>
            </w:r>
            <w:r>
              <w:br/>
            </w:r>
            <w:r>
              <w:rPr>
                <w:rFonts w:ascii="Times New Roman" w:hAnsi="Times New Roman"/>
                <w:sz w:val="18"/>
              </w:rPr>
              <w:t>— По терминологии [автор], …</w:t>
            </w:r>
          </w:p>
        </w:tc>
      </w:tr>
      <w:tr>
        <w:tc>
          <w:tcPr>
            <w:tcW w:type="dxa" w:w="4961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1F498B"/>
                <w:sz w:val="18"/>
              </w:rPr>
              <w:t>Логика</w:t>
              <w:br/>
              <w:t>вывода</w:t>
            </w:r>
          </w:p>
        </w:tc>
        <w:tc>
          <w:tcPr>
            <w:tcW w:type="dxa" w:w="4961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— Из изложенного следует, что…</w:t>
            </w:r>
            <w:r>
              <w:br/>
            </w:r>
            <w:r>
              <w:rPr>
                <w:rFonts w:ascii="Times New Roman" w:hAnsi="Times New Roman"/>
                <w:sz w:val="18"/>
              </w:rPr>
              <w:t>— Таким образом, можно констатировать…</w:t>
            </w:r>
            <w:r>
              <w:br/>
            </w:r>
            <w:r>
              <w:rPr>
                <w:rFonts w:ascii="Times New Roman" w:hAnsi="Times New Roman"/>
                <w:sz w:val="18"/>
              </w:rPr>
              <w:t>— Совокупность факторов позволяет утверждать…</w:t>
            </w:r>
            <w:r>
              <w:br/>
            </w:r>
            <w:r>
              <w:rPr>
                <w:rFonts w:ascii="Times New Roman" w:hAnsi="Times New Roman"/>
                <w:sz w:val="18"/>
              </w:rPr>
              <w:t>— Данная закономерность объясняется тем, что…</w:t>
            </w:r>
          </w:p>
        </w:tc>
      </w:tr>
      <w:tr>
        <w:tc>
          <w:tcPr>
            <w:tcW w:type="dxa" w:w="4961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1F498B"/>
                <w:sz w:val="18"/>
              </w:rPr>
              <w:t>Личная</w:t>
              <w:br/>
              <w:t>позиция</w:t>
            </w:r>
          </w:p>
        </w:tc>
        <w:tc>
          <w:tcPr>
            <w:tcW w:type="dxa" w:w="4961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— На наш взгляд / По нашей оценке…</w:t>
            </w:r>
            <w:r>
              <w:br/>
            </w:r>
            <w:r>
              <w:rPr>
                <w:rFonts w:ascii="Times New Roman" w:hAnsi="Times New Roman"/>
                <w:sz w:val="18"/>
              </w:rPr>
              <w:t>— В рамках данного исследования мы пришли к выводу…</w:t>
            </w:r>
            <w:r>
              <w:br/>
            </w:r>
            <w:r>
              <w:rPr>
                <w:rFonts w:ascii="Times New Roman" w:hAnsi="Times New Roman"/>
                <w:sz w:val="18"/>
              </w:rPr>
              <w:t>— Считаю, что наиболее обоснованным является…</w:t>
            </w:r>
            <w:r>
              <w:br/>
            </w:r>
            <w:r>
              <w:rPr>
                <w:rFonts w:ascii="Times New Roman" w:hAnsi="Times New Roman"/>
                <w:sz w:val="18"/>
              </w:rPr>
              <w:t>— Практика показывает, что…</w:t>
            </w:r>
          </w:p>
        </w:tc>
      </w:tr>
      <w:tr>
        <w:tc>
          <w:tcPr>
            <w:tcW w:type="dxa" w:w="9922"/>
            <w:gridSpan w:val="2"/>
            <w:shd w:val="clear" w:color="auto" w:fill="D6E0F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color w:val="1F498B"/>
                <w:sz w:val="18"/>
              </w:rPr>
              <w:t xml:space="preserve">  ▌ ОТВЕТЫ НА ВОПРОСЫ КОМИССИИ</w:t>
            </w:r>
          </w:p>
        </w:tc>
      </w:tr>
      <w:tr>
        <w:tc>
          <w:tcPr>
            <w:tcW w:type="dxa" w:w="4961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1F498B"/>
                <w:sz w:val="18"/>
              </w:rPr>
              <w:t>Принять</w:t>
              <w:br/>
              <w:t>вопрос</w:t>
            </w:r>
          </w:p>
        </w:tc>
        <w:tc>
          <w:tcPr>
            <w:tcW w:type="dxa" w:w="4961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— Благодарю за вопрос. …</w:t>
            </w:r>
            <w:r>
              <w:br/>
            </w:r>
            <w:r>
              <w:rPr>
                <w:rFonts w:ascii="Times New Roman" w:hAnsi="Times New Roman"/>
                <w:sz w:val="18"/>
              </w:rPr>
              <w:t>— Это действительно важный аспект. …</w:t>
            </w:r>
            <w:r>
              <w:br/>
            </w:r>
            <w:r>
              <w:rPr>
                <w:rFonts w:ascii="Times New Roman" w:hAnsi="Times New Roman"/>
                <w:sz w:val="18"/>
              </w:rPr>
              <w:t>— Позвольте пояснить…</w:t>
            </w:r>
            <w:r>
              <w:br/>
            </w:r>
            <w:r>
              <w:rPr>
                <w:rFonts w:ascii="Times New Roman" w:hAnsi="Times New Roman"/>
                <w:sz w:val="18"/>
              </w:rPr>
              <w:t>— Данный вопрос рассмотрен в работе следующим образом…</w:t>
            </w:r>
          </w:p>
        </w:tc>
      </w:tr>
      <w:tr>
        <w:tc>
          <w:tcPr>
            <w:tcW w:type="dxa" w:w="4961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1F498B"/>
                <w:sz w:val="18"/>
              </w:rPr>
              <w:t>Если</w:t>
              <w:br/>
              <w:t>не уверен</w:t>
            </w:r>
          </w:p>
        </w:tc>
        <w:tc>
          <w:tcPr>
            <w:tcW w:type="dxa" w:w="4961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— В рамках данного исследования этот вопрос детально не рассматривался, однако могу предположить…</w:t>
            </w:r>
            <w:r>
              <w:br/>
            </w:r>
            <w:r>
              <w:rPr>
                <w:rFonts w:ascii="Times New Roman" w:hAnsi="Times New Roman"/>
                <w:sz w:val="18"/>
              </w:rPr>
              <w:t>— Это выходит за рамки поставленных задач, тем не менее…</w:t>
            </w:r>
            <w:r>
              <w:br/>
            </w:r>
            <w:r>
              <w:rPr>
                <w:rFonts w:ascii="Times New Roman" w:hAnsi="Times New Roman"/>
                <w:sz w:val="18"/>
              </w:rPr>
              <w:t>— Точными данными на этот счёт не располагаю, но логика анализа позволяет предположить…</w:t>
            </w:r>
          </w:p>
        </w:tc>
      </w:tr>
      <w:tr>
        <w:tc>
          <w:tcPr>
            <w:tcW w:type="dxa" w:w="4961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1F498B"/>
                <w:sz w:val="18"/>
              </w:rPr>
              <w:t>Уточнение</w:t>
              <w:br/>
              <w:t>вопроса</w:t>
            </w:r>
          </w:p>
        </w:tc>
        <w:tc>
          <w:tcPr>
            <w:tcW w:type="dxa" w:w="4961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— Правильно ли я понимаю, что вопрос касается…?</w:t>
            </w:r>
            <w:r>
              <w:br/>
            </w:r>
            <w:r>
              <w:rPr>
                <w:rFonts w:ascii="Times New Roman" w:hAnsi="Times New Roman"/>
                <w:sz w:val="18"/>
              </w:rPr>
              <w:t>— Позвольте уточнить: вы имеете в виду … или …?</w:t>
            </w:r>
          </w:p>
        </w:tc>
      </w:tr>
      <w:tr>
        <w:tc>
          <w:tcPr>
            <w:tcW w:type="dxa" w:w="4961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1F498B"/>
                <w:sz w:val="18"/>
              </w:rPr>
              <w:t>Признать</w:t>
              <w:br/>
              <w:t>ограничение</w:t>
            </w:r>
          </w:p>
        </w:tc>
        <w:tc>
          <w:tcPr>
            <w:tcW w:type="dxa" w:w="4961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— Вы абсолютно правы — это ограничение исследования. В перспективе оно может быть устранено за счёт…</w:t>
            </w:r>
            <w:r>
              <w:br/>
            </w:r>
            <w:r>
              <w:rPr>
                <w:rFonts w:ascii="Times New Roman" w:hAnsi="Times New Roman"/>
                <w:sz w:val="18"/>
              </w:rPr>
              <w:t>— Согласен, что данный аспект требует дополнительного изучения.</w:t>
            </w:r>
            <w:r>
              <w:br/>
            </w:r>
            <w:r>
              <w:rPr>
                <w:rFonts w:ascii="Times New Roman" w:hAnsi="Times New Roman"/>
                <w:sz w:val="18"/>
              </w:rPr>
              <w:t>— Это перспективное направление для дальнейших исследований.</w:t>
            </w:r>
          </w:p>
        </w:tc>
      </w:tr>
      <w:tr>
        <w:tc>
          <w:tcPr>
            <w:tcW w:type="dxa" w:w="9922"/>
            <w:gridSpan w:val="2"/>
            <w:shd w:val="clear" w:color="auto" w:fill="D6E0F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color w:val="1F498B"/>
                <w:sz w:val="18"/>
              </w:rPr>
              <w:t xml:space="preserve">  ▌ ЗАВЕРШЕНИЕ ДОКЛАДА</w:t>
            </w:r>
          </w:p>
        </w:tc>
      </w:tr>
      <w:tr>
        <w:tc>
          <w:tcPr>
            <w:tcW w:type="dxa" w:w="4961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1F498B"/>
                <w:sz w:val="18"/>
              </w:rPr>
              <w:t>Итог</w:t>
            </w:r>
          </w:p>
        </w:tc>
        <w:tc>
          <w:tcPr>
            <w:tcW w:type="dxa" w:w="4961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— Подводя итог, можно констатировать следующее: …</w:t>
            </w:r>
            <w:r>
              <w:br/>
            </w:r>
            <w:r>
              <w:rPr>
                <w:rFonts w:ascii="Times New Roman" w:hAnsi="Times New Roman"/>
                <w:sz w:val="18"/>
              </w:rPr>
              <w:t>— Таким образом, в ходе исследования были достигнуты все поставленные цели.</w:t>
            </w:r>
            <w:r>
              <w:br/>
            </w:r>
            <w:r>
              <w:rPr>
                <w:rFonts w:ascii="Times New Roman" w:hAnsi="Times New Roman"/>
                <w:sz w:val="18"/>
              </w:rPr>
              <w:t>— Все восемь задач, обозначенных во введении, решены.</w:t>
            </w:r>
            <w:r>
              <w:br/>
            </w:r>
            <w:r>
              <w:rPr>
                <w:rFonts w:ascii="Times New Roman" w:hAnsi="Times New Roman"/>
                <w:sz w:val="18"/>
              </w:rPr>
              <w:t>— Сформулированная гипотеза нашла подтверждение в расчётах третьей главы.</w:t>
            </w:r>
          </w:p>
        </w:tc>
      </w:tr>
      <w:tr>
        <w:tc>
          <w:tcPr>
            <w:tcW w:type="dxa" w:w="4961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1F498B"/>
                <w:sz w:val="18"/>
              </w:rPr>
              <w:t>Завершение</w:t>
            </w:r>
          </w:p>
        </w:tc>
        <w:tc>
          <w:tcPr>
            <w:tcW w:type="dxa" w:w="4961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— Доклад завершён. Готов ответить на вопросы.</w:t>
            </w:r>
            <w:r>
              <w:br/>
            </w:r>
            <w:r>
              <w:rPr>
                <w:rFonts w:ascii="Times New Roman" w:hAnsi="Times New Roman"/>
                <w:sz w:val="18"/>
              </w:rPr>
              <w:t>— Благодарю за внимание. Готов к обсуждению.</w:t>
            </w:r>
            <w:r>
              <w:br/>
            </w:r>
            <w:r>
              <w:rPr>
                <w:rFonts w:ascii="Times New Roman" w:hAnsi="Times New Roman"/>
                <w:sz w:val="18"/>
              </w:rPr>
              <w:t>— Спасибо за внимание. Готов ответить на вопросы членов комиссии.</w:t>
            </w:r>
          </w:p>
        </w:tc>
      </w:tr>
    </w:tbl>
    <w:sectPr w:rsidR="00FC693F" w:rsidRPr="0006063C" w:rsidSect="00034616">
      <w:pgSz w:w="11906" w:h="16838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