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РЕЧЬ К ЗАЩИТЕ ДИПЛОМНОЙ РАБОТЫ</w:t>
      </w:r>
    </w:p>
    <w:p>
      <w:pPr>
        <w:jc w:val="center"/>
      </w:pPr>
      <w:r>
        <w:rPr>
          <w:rFonts w:ascii="Times New Roman" w:hAnsi="Times New Roman"/>
          <w:b/>
          <w:sz w:val="28"/>
        </w:rPr>
        <w:t>«Организация рекламно-информационной работы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коммерческой организации и оценка её эффективности</w:t>
      </w:r>
    </w:p>
    <w:p>
      <w:pPr>
        <w:jc w:val="center"/>
      </w:pPr>
      <w:r>
        <w:rPr>
          <w:rFonts w:ascii="Times New Roman" w:hAnsi="Times New Roman"/>
          <w:b/>
          <w:sz w:val="28"/>
        </w:rPr>
        <w:t>(на примере ООО "ФАСТ ИНЖИНИРИНГ")»</w:t>
      </w:r>
    </w:p>
    <w:p/>
    <w:p>
      <w:r>
        <w:rPr>
          <w:rFonts w:ascii="Times New Roman" w:hAnsi="Times New Roman"/>
          <w:b/>
          <w:color w:val="1F498B"/>
          <w:sz w:val="28"/>
        </w:rPr>
        <w:t>[Слайд 1]</w:t>
      </w:r>
      <w:r>
        <w:rPr>
          <w:rFonts w:ascii="Times New Roman" w:hAnsi="Times New Roman"/>
          <w:b/>
          <w:color w:val="1F498B"/>
          <w:sz w:val="28"/>
        </w:rPr>
        <w:t xml:space="preserve">  Титульный слайд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sz w:val="28"/>
        </w:rPr>
        <w:t>Уважаемый Председатель, уважаемые члены Государственной Аттестационной Комиссии!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sz w:val="28"/>
        </w:rPr>
        <w:t>Вашему вниманию представляется дипломная работа на тему: «Организация рекламно-информационной работы коммерческой организации и оценка её эффективности» — на примере ООО «ФАСТ ИНЖИНИРИНГ».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sz w:val="28"/>
        </w:rPr>
        <w:t>Научный руководитель — к.э.н., доцент Саенко Мария Юрьевна.</w:t>
      </w:r>
    </w:p>
    <w:p/>
    <w:p>
      <w:r>
        <w:rPr>
          <w:rFonts w:ascii="Times New Roman" w:hAnsi="Times New Roman"/>
          <w:b/>
          <w:color w:val="1F498B"/>
          <w:sz w:val="28"/>
        </w:rPr>
        <w:t>[Слайд 2]</w:t>
      </w:r>
      <w:r>
        <w:rPr>
          <w:rFonts w:ascii="Times New Roman" w:hAnsi="Times New Roman"/>
          <w:b/>
          <w:color w:val="1F498B"/>
          <w:sz w:val="28"/>
        </w:rPr>
        <w:t xml:space="preserve">  Актуальность, цель и задачи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sz w:val="28"/>
        </w:rPr>
        <w:t>Почему эта тема важна? Три причины.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sz w:val="28"/>
        </w:rPr>
        <w:t>Первая — экономическая. Российские инжиниринговые компании сейчас на подъёме из-за курса на импортозамещение. Но хорошей продукции мало — её нужно ещё и продвигать.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sz w:val="28"/>
        </w:rPr>
        <w:t>Вторая — правовая. В 2022–2023 годах в закон «О рекламе» внесли серьёзные поправки: обязательная маркировка интернет-рекламы, Единый реестр. Это уже не опция, а требование.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sz w:val="28"/>
        </w:rPr>
        <w:t>Третья — научная. Для небольших B2B-компаний с долгим циклом сделки нормальной методики оценки рекламы практически нет. Мы её разработали.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sz w:val="28"/>
        </w:rPr>
        <w:t>Объект исследования — рекламно-информационная деятельность ООО «ФАСТ ИНЖИНИРИНГ». Цель — разработать конкретные предложения по её улучшению и посчитать, насколько они окупятся.</w:t>
      </w:r>
    </w:p>
    <w:p/>
    <w:p>
      <w:r>
        <w:rPr>
          <w:rFonts w:ascii="Times New Roman" w:hAnsi="Times New Roman"/>
          <w:b/>
          <w:color w:val="1F498B"/>
          <w:sz w:val="28"/>
        </w:rPr>
        <w:t>[Слайд 3]</w:t>
      </w:r>
      <w:r>
        <w:rPr>
          <w:rFonts w:ascii="Times New Roman" w:hAnsi="Times New Roman"/>
          <w:b/>
          <w:color w:val="1F498B"/>
          <w:sz w:val="28"/>
        </w:rPr>
        <w:t xml:space="preserve">  Объект исследования — ООО «ФАСТ ИНЖИНИРИНГ»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sz w:val="28"/>
        </w:rPr>
        <w:t>Чем занимается компания? Это небольшое московское предприятие — до 10 человек. Разрабатывает и поставляет промышленное оборудование: теплообменники, массообменные аппараты, каталитические реакторы, беспламенные горелки.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sz w:val="28"/>
        </w:rPr>
        <w:t>Компания очень сильна технически. Все разработки запатентованы. Среди клиентов — НОВАТЭК, ЕВРОХИМ, ТАНЕКО, МОСЭНЕРГО. В 2026 году получила статус Малой технологической компании от Минэкономразвития. Лауреат премии «Новатор Москвы», финалист «Сколково».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sz w:val="28"/>
        </w:rPr>
        <w:t>Казалось бы — сильная компания. Но есть серьёзная проблема.</w:t>
      </w:r>
    </w:p>
    <w:p/>
    <w:p>
      <w:r>
        <w:rPr>
          <w:rFonts w:ascii="Times New Roman" w:hAnsi="Times New Roman"/>
          <w:b/>
          <w:color w:val="1F498B"/>
          <w:sz w:val="28"/>
        </w:rPr>
        <w:t>[Слайд 4]</w:t>
      </w:r>
      <w:r>
        <w:rPr>
          <w:rFonts w:ascii="Times New Roman" w:hAnsi="Times New Roman"/>
          <w:b/>
          <w:color w:val="1F498B"/>
          <w:sz w:val="28"/>
        </w:rPr>
        <w:t xml:space="preserve">  Проблема: выручка упала на 80,4%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sz w:val="28"/>
        </w:rPr>
        <w:t>Смотрите на цифры. В 2023 году выручка — 5 605 тысяч рублей. В 2024 году — всего 375 тысяч. Падение в 15 раз. Прибыль — ноль. В 2025-м небольшое восстановление до 1 100 тысяч, но до уровня 2023 года ещё далеко.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sz w:val="28"/>
        </w:rPr>
        <w:t>Мы проверили: производство работает, люди на месте, патенты действуют. Значит, дело не в производстве. Дело в том, что компанию просто не знают и не находят.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sz w:val="28"/>
        </w:rPr>
        <w:t>Конкретные факты: узнаваемость в отрасли — 38%. Входящих обращений — около 3 в месяц. Используется только 2 маркетинговых инструмента из 6 возможных. Вывод: кризис — сбытовой, и его причина — в рекламе.</w:t>
      </w:r>
    </w:p>
    <w:p/>
    <w:p>
      <w:r>
        <w:rPr>
          <w:rFonts w:ascii="Times New Roman" w:hAnsi="Times New Roman"/>
          <w:b/>
          <w:color w:val="1F498B"/>
          <w:sz w:val="28"/>
        </w:rPr>
        <w:t>[Слайд 5]</w:t>
      </w:r>
      <w:r>
        <w:rPr>
          <w:rFonts w:ascii="Times New Roman" w:hAnsi="Times New Roman"/>
          <w:b/>
          <w:color w:val="1F498B"/>
          <w:sz w:val="28"/>
        </w:rPr>
        <w:t xml:space="preserve">  SWOT-анализ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sz w:val="28"/>
        </w:rPr>
        <w:t>Мы провели SWOT-анализ рекламно-информационной работы.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sz w:val="28"/>
        </w:rPr>
        <w:t>Сильные стороны: уникальный продукт, патенты, крупные клиенты, премии и статусы. Слабые: нет маркетолога, сайт устаревший, нет CRM, нет референс-листа проектов, всё продвижение — через личные контакты директора.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sz w:val="28"/>
        </w:rPr>
        <w:t>Возможности: импортозамещение даёт рост спроса, цифровые каналы доступны — SEO, Яндекс.Директ, Telegram. Угрозы: конкуренция растёт, цикл сделки длинный, и если директор заболеет — заказов не будет вообще.</w:t>
      </w:r>
    </w:p>
    <w:p/>
    <w:p>
      <w:r>
        <w:rPr>
          <w:rFonts w:ascii="Times New Roman" w:hAnsi="Times New Roman"/>
          <w:b/>
          <w:color w:val="1F498B"/>
          <w:sz w:val="28"/>
        </w:rPr>
        <w:t>[Слайд 6]</w:t>
      </w:r>
      <w:r>
        <w:rPr>
          <w:rFonts w:ascii="Times New Roman" w:hAnsi="Times New Roman"/>
          <w:b/>
          <w:color w:val="1F498B"/>
          <w:sz w:val="28"/>
        </w:rPr>
        <w:t xml:space="preserve">  5 барьеров, которые блокируют заказы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sz w:val="28"/>
        </w:rPr>
        <w:t>Мы выявили пять конкретных барьеров.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sz w:val="28"/>
        </w:rPr>
        <w:t>Барьер 1 — видимость. Только 38% нужной аудитории знают о компании. В поиске сайт не появляется.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sz w:val="28"/>
        </w:rPr>
        <w:t>Барьер 2 — доказательства. На сайте нет кейсов, нет отзывов клиентов. А в B2B без доказательств не покупают.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sz w:val="28"/>
        </w:rPr>
        <w:t>Барьер 3 — конвертация. Нет кнопки заявки, нет обратного звонка, нет CRM. Человек зашёл на сайт — и ушёл.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sz w:val="28"/>
        </w:rPr>
        <w:t>Барьер 4 — аналитика. Никаких метрик нет. Непонятно, что работает, а что нет.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sz w:val="28"/>
        </w:rPr>
        <w:t>Барьер 5 — масштабирование. Все продажи держатся на одном человеке. Нет воронки — нет системы.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sz w:val="28"/>
        </w:rPr>
        <w:t>Пока все пять барьеров не убраны — ситуация не изменится.</w:t>
      </w:r>
    </w:p>
    <w:p/>
    <w:p>
      <w:r>
        <w:rPr>
          <w:rFonts w:ascii="Times New Roman" w:hAnsi="Times New Roman"/>
          <w:b/>
          <w:color w:val="1F498B"/>
          <w:sz w:val="28"/>
        </w:rPr>
        <w:t>[Слайд 7]</w:t>
      </w:r>
      <w:r>
        <w:rPr>
          <w:rFonts w:ascii="Times New Roman" w:hAnsi="Times New Roman"/>
          <w:b/>
          <w:color w:val="1F498B"/>
          <w:sz w:val="28"/>
        </w:rPr>
        <w:t xml:space="preserve">  7 направлений программы улучшения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sz w:val="28"/>
        </w:rPr>
        <w:t>В третьей главе мы разработали программу из семи шагов.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sz w:val="28"/>
        </w:rPr>
        <w:t>1. Написать маркетинговую стратегию — цели, KPI, бюджет.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sz w:val="28"/>
        </w:rPr>
        <w:t>2. Переделать сайт под B2B: добавить форму заявки, мобильную версию, отраслевые страницы.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sz w:val="28"/>
        </w:rPr>
        <w:t>3. Запустить SEO и рекламу в Яндекс.Директе — чтобы компанию находили в поиске.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sz w:val="28"/>
        </w:rPr>
        <w:t>4. Вести Telegram-канал — 1–2 экспертных поста в неделю.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sz w:val="28"/>
        </w:rPr>
        <w:t>5. Участвовать в 1–2 отраслевых выставках в год.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sz w:val="28"/>
        </w:rPr>
        <w:t>6. Внедрить CRM «Битрикс24» — считать лиды, вести аналитику.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sz w:val="28"/>
        </w:rPr>
        <w:t>7. Собрать референс-лист — реальные проекты с цифрами для заказчиков.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sz w:val="28"/>
        </w:rPr>
        <w:t>Каждый шаг убирает один или несколько из пяти барьеров.</w:t>
      </w:r>
    </w:p>
    <w:p/>
    <w:p>
      <w:r>
        <w:rPr>
          <w:rFonts w:ascii="Times New Roman" w:hAnsi="Times New Roman"/>
          <w:b/>
          <w:color w:val="1F498B"/>
          <w:sz w:val="28"/>
        </w:rPr>
        <w:t>[Слайд 8]</w:t>
      </w:r>
      <w:r>
        <w:rPr>
          <w:rFonts w:ascii="Times New Roman" w:hAnsi="Times New Roman"/>
          <w:b/>
          <w:color w:val="1F498B"/>
          <w:sz w:val="28"/>
        </w:rPr>
        <w:t xml:space="preserve">  Медиаплан на 2026 год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sz w:val="28"/>
        </w:rPr>
        <w:t>На основе этих семи направлений составлен конкретный медиаплан: 12 мероприятий, расписанных по кварталам. Общий бюджет — 2 000 тысяч рублей.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sz w:val="28"/>
        </w:rPr>
        <w:t>Крупнейшие статьи расходов: Яндекс.Директ — 500 тысяч, CRM — 350 тысяч, SEO — 300 тысяч, выставка — 200 тысяч, сайт — 250 тысяч. Часть мероприятий — бесплатная: стратегия, подключение Яндекс.Метрики, референс-лист.</w:t>
      </w:r>
    </w:p>
    <w:p/>
    <w:p>
      <w:r>
        <w:rPr>
          <w:rFonts w:ascii="Times New Roman" w:hAnsi="Times New Roman"/>
          <w:b/>
          <w:color w:val="1F498B"/>
          <w:sz w:val="28"/>
        </w:rPr>
        <w:t>[Слайд 9]</w:t>
      </w:r>
      <w:r>
        <w:rPr>
          <w:rFonts w:ascii="Times New Roman" w:hAnsi="Times New Roman"/>
          <w:b/>
          <w:color w:val="1F498B"/>
          <w:sz w:val="28"/>
        </w:rPr>
        <w:t xml:space="preserve">  Окупаемость: ROMI 78,8%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sz w:val="28"/>
        </w:rPr>
        <w:t>Теперь о деньгах. Мы посчитали три сценария.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sz w:val="28"/>
        </w:rPr>
        <w:t>Реалистичный — базовый. Обращений станет в 8 раз больше: с 3 до 25 в месяц. Будет заключено 6 договоров в год. Выручка в 2026 году — 4 500 тысяч рублей. Рентабельность рекламы — 78,8%. Вложения окупятся за 18–24 месяца.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sz w:val="28"/>
        </w:rPr>
        <w:t>Оптимистичный: выручка 6 750 тысяч рублей, ROMI — 145%, окупаемость — 12–15 месяцев.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sz w:val="28"/>
        </w:rPr>
        <w:t>Пессимистичный: выручка 2 250 тысяч рублей, ROMI — 12,5%, окупаемость — больше 30 месяцев.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sz w:val="28"/>
        </w:rPr>
        <w:t>Даже в худшем варианте инвестиции не сгорают — они просто окупаются дольше.</w:t>
      </w:r>
    </w:p>
    <w:p/>
    <w:p>
      <w:r>
        <w:rPr>
          <w:rFonts w:ascii="Times New Roman" w:hAnsi="Times New Roman"/>
          <w:b/>
          <w:color w:val="1F498B"/>
          <w:sz w:val="28"/>
        </w:rPr>
        <w:t>[Слайд 10–11]</w:t>
      </w:r>
      <w:r>
        <w:rPr>
          <w:rFonts w:ascii="Times New Roman" w:hAnsi="Times New Roman"/>
          <w:b/>
          <w:color w:val="1F498B"/>
          <w:sz w:val="28"/>
        </w:rPr>
        <w:t xml:space="preserve">  Выводы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sz w:val="28"/>
        </w:rPr>
        <w:t>Подведу итог.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sz w:val="28"/>
        </w:rPr>
        <w:t>Первое — мы доказали: главная причина сбытового кризиса — отсутствие системной рекламно-информационной работы. Не производство, не продукт — а реклама.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sz w:val="28"/>
        </w:rPr>
        <w:t>Второе — мы разработали конкретную программу: 7 направлений, 12 мероприятий, бюджет 2 миллиона рублей. Всё готово к внедрению в 2026 году.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sz w:val="28"/>
        </w:rPr>
        <w:t>Третье — предложена авторская методика СИЭР — Сводный Индекс Эффективности Рекламно-информационной работы. Её можно применять и в других инжиниринговых компаниях.</w:t>
      </w:r>
    </w:p>
    <w:p/>
    <w:p>
      <w:pPr>
        <w:jc w:val="center"/>
      </w:pPr>
      <w:r>
        <w:rPr>
          <w:rFonts w:ascii="Times New Roman" w:hAnsi="Times New Roman"/>
          <w:b/>
          <w:sz w:val="28"/>
        </w:rPr>
        <w:t>Доклад завершён. Готов ответить на ваши вопросы.</w:t>
      </w:r>
    </w:p>
    <w:p>
      <w:pPr>
        <w:jc w:val="center"/>
      </w:pPr>
      <w:r>
        <w:rPr>
          <w:rFonts w:ascii="Times New Roman" w:hAnsi="Times New Roman"/>
          <w:i/>
          <w:sz w:val="24"/>
        </w:rPr>
        <w:t>Время доклада: ~7 минут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