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ГЛОССАРИЙ ТЕРМИНОВ И АББРЕВИАТУР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Дипломная работа Остапенко М.Д. — ООО «ФАСТ ИНЖИНИРИНГ», специальность 38.02.04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417"/>
            <w:shd w:val="clear" w:color="auto" w:fill="1F498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Термин / Аббревиатура</w:t>
            </w:r>
          </w:p>
        </w:tc>
        <w:tc>
          <w:tcPr>
            <w:tcW w:type="dxa" w:w="3402"/>
            <w:shd w:val="clear" w:color="auto" w:fill="1F498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Расшифровка</w:t>
            </w:r>
          </w:p>
        </w:tc>
        <w:tc>
          <w:tcPr>
            <w:tcW w:type="dxa" w:w="5102"/>
            <w:shd w:val="clear" w:color="auto" w:fill="1F498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Простое объяснение</w:t>
            </w:r>
          </w:p>
        </w:tc>
      </w:tr>
      <w:tr>
        <w:tc>
          <w:tcPr>
            <w:tcW w:type="dxa" w:w="9921"/>
            <w:gridSpan w:val="3"/>
            <w:shd w:val="clear" w:color="auto" w:fill="D6E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МОДЕЛИ И МЕТОДИКИ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AIDA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Attention → Interest → Desire → Action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Путь клиента: Внимание → Интерес → Желание → Действие. В дипломе — для диагностики разрывов коммуникации компании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AISAS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Attention → Interest → Search → Action → Share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Расширенная AIDA для интернета: добавлен Поиск (Search) и Распространение (Share) — клиент сам ищет информацию и делится отзывом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RACE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Reach → Act → Convert → Engage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Модель цифрового маркетинга: Охват → Взаимодействие → Конвертация → Вовлечённость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SWOT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Strengths, Weaknesses, Opportunities, Threats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Анализ: Сильные стороны, Слабые стороны, Возможности, Угрозы. В дипломе — оценка рекламно-информационной работы компании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PEST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Political, Economic, Social, Technological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Анализ внешней среды: политические, экономические, социальные и технологические факторы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SMART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Specific, Measurable, Achievable, Relevant, Time-bound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Критерии правильной цели: конкретная, измеримая, достижимая, значимая, ограниченная по времени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СИЭР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Сводный Индекс Эффективности Рекламно-информационной Работы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Авторская методика дипломной работы: 1) диагностика барьеров коммуникации, 2) расчёт метрик воронки, 3) сценарный анализ окупаемости</w:t>
            </w:r>
          </w:p>
        </w:tc>
      </w:tr>
      <w:tr>
        <w:tc>
          <w:tcPr>
            <w:tcW w:type="dxa" w:w="9921"/>
            <w:gridSpan w:val="3"/>
            <w:shd w:val="clear" w:color="auto" w:fill="D6E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МЕТРИКИ ЭФФЕКТИВНОСТИ РЕКЛАМЫ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ROMI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Return on Marketing Investment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Рентабельность маркетинговых инвестиций. Формула: (Прибыль ÷ Бюджет рекламы) × 100%. В дипломе: 78,8% (реалистичный сценарий)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ROAS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Return on Ad Spend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Доходность рекламных расходов. Формула: Выручка ÷ Бюджет рекламы. Отличие от ROMI: считается от выручки, а не от прибыли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ROI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Return on Investment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Общий возврат на инвестиции. Формула: ((Доход − Затраты) ÷ Затраты) × 100%. ROMI — частный случай ROI для маркетинга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CPL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Cost Per Lead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Стоимость одного входящего обращения. Формула: Бюджет ÷ Количество лидов. В дипломе: 6,7 тыс. руб./лид (реалистичный сценарий)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CAC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Customer Acquisition Cost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Стоимость привлечения одного клиента (подписавшего договор). Формула: Бюджет ÷ Количество договоров. В дипломе: 333 тыс. руб.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CTR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Click-Through Rate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Кликабельность объявления. Формула: (Клики ÷ Показы) × 100%. Показывает, насколько привлекательно рекламное объявление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MQL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Marketing Qualified Lead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Квалифицированный лид — потенциальный клиент, уже проявивший интерес (оставил заявку, задал вопрос). В дипломе — 40% от всех обращений</w:t>
            </w:r>
          </w:p>
        </w:tc>
      </w:tr>
      <w:tr>
        <w:tc>
          <w:tcPr>
            <w:tcW w:type="dxa" w:w="9921"/>
            <w:gridSpan w:val="3"/>
            <w:shd w:val="clear" w:color="auto" w:fill="D6E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ИНСТРУМЕНТЫ, РЫНКИ И ПРАВОВЫЕ ТЕРМИНЫ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SEO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Search Engine Optimization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Поисковая оптимизация — вывод сайта в топ Яндекса по целевым запросам. Бюджет в медиаплане: 300 тыс. руб.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CRM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Customer Relationship Management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Система учёта клиентов, лидов и сделок. Рекомендуется «Битрикс24». Бюджет: 350 тыс. руб. Устраняет барьер конвертации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SMM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Social Media Marketing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Продвижение через соцсети (ВКонтакте, Telegram). В медиаплане — Telegram-канал и сообщество ВКонтакте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KPI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Key Performance Indicators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Ключевые показатели эффективности. Пример целей в дипломе: 25 обращений/мес., 6 договоров/год, 2 500 посетителей сайта/мес.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ТКП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Технико-коммерческое предложение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Документ с техническими характеристиками и ценой оборудования. Форма запроса ТКП — ключевой конверсионный элемент сайта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B2B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Business to Business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Продажи между компаниями. Особенности: длинный цикл сделки (6–18 мес.), решение принимает группа лиц, важны рациональные аргументы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B2C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Business to Consumer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Продажи конечному потребителю. Большинство стандартных методик рекламы написаны под B2C, не B2B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ФЗ №38-ФЗ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Федеральный закон «О рекламе» от 13.03.2006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Основной закон о рекламе в РФ. Поправки 2022–2023 гг.: обязательная маркировка интернет-рекламы токеном + передача данных в ЕРИР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ЕРИР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Единый реестр интернет-рекламы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Государственная база данных всей интернет-рекламы в России. Ведётся Роскомнадзором. Данные передаются через ОРД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ОРД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Оператор рекламных данных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Посредник между рекламодателем и ЕРИР. Присваивает токен каждому объявлению. Примеры: Яндекс ОРД, VK ОРД, Сбер ОРД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ФАС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Федеральная антимонопольная служба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Контролирует соблюдение закона о рекламе, выносит предписания и штрафы за нарушения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F498B"/>
                <w:sz w:val="17"/>
              </w:rPr>
              <w:t>МТК МЭР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Малая технологическая компания (Минэкономразвития)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  <w:t>Официальный статус ООО «ФАСТ ИНЖИНИРИНГ» с 21.01.2026. Даёт право на льготы и меры господдержки</w:t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